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76A3E" w14:textId="77777777" w:rsidR="001C1725" w:rsidRPr="00993630" w:rsidRDefault="001C1725" w:rsidP="001C1725">
      <w:pPr>
        <w:rPr>
          <w:rFonts w:cstheme="minorHAnsi"/>
          <w:sz w:val="22"/>
          <w:szCs w:val="22"/>
        </w:rPr>
      </w:pPr>
      <w:r w:rsidRPr="00993630">
        <w:rPr>
          <w:rFonts w:cstheme="minorHAnsi"/>
          <w:sz w:val="22"/>
          <w:szCs w:val="22"/>
        </w:rPr>
        <w:t xml:space="preserve">Times of crisis can cause distress, leading to increased anxiety and depression. These feelings can be enhanced due to the lack of clear and concise communication and decreased engagement with loved ones and the community. When clinical care teams are engaging with patients in times of crisis, it’s important to: </w:t>
      </w:r>
    </w:p>
    <w:p w14:paraId="39C3CA54" w14:textId="77777777" w:rsidR="001C1725" w:rsidRPr="00993630" w:rsidRDefault="001C1725" w:rsidP="001C1725">
      <w:pPr>
        <w:pStyle w:val="ListParagraph"/>
        <w:numPr>
          <w:ilvl w:val="0"/>
          <w:numId w:val="12"/>
        </w:numPr>
        <w:rPr>
          <w:rFonts w:cstheme="minorHAnsi"/>
          <w:sz w:val="22"/>
          <w:szCs w:val="22"/>
        </w:rPr>
      </w:pPr>
      <w:r w:rsidRPr="00993630">
        <w:rPr>
          <w:rFonts w:cstheme="minorHAnsi"/>
          <w:sz w:val="22"/>
          <w:szCs w:val="22"/>
        </w:rPr>
        <w:t xml:space="preserve">Encourage patients with physical or behavioral health conditions to continue with their treatment plans during an emergency. </w:t>
      </w:r>
    </w:p>
    <w:p w14:paraId="2735D162" w14:textId="77777777" w:rsidR="001C1725" w:rsidRPr="00993630" w:rsidRDefault="001C1725" w:rsidP="001C1725">
      <w:pPr>
        <w:pStyle w:val="ListParagraph"/>
        <w:numPr>
          <w:ilvl w:val="0"/>
          <w:numId w:val="12"/>
        </w:numPr>
        <w:rPr>
          <w:rFonts w:cstheme="minorHAnsi"/>
          <w:sz w:val="22"/>
          <w:szCs w:val="22"/>
        </w:rPr>
      </w:pPr>
      <w:r w:rsidRPr="00993630">
        <w:rPr>
          <w:rFonts w:cstheme="minorHAnsi"/>
          <w:sz w:val="22"/>
          <w:szCs w:val="22"/>
        </w:rPr>
        <w:t xml:space="preserve">Educate and teach patients how to self-monitor their existing conditions, as well as the onset of new symptoms that may be related to the COVID-19 crisis. </w:t>
      </w:r>
    </w:p>
    <w:p w14:paraId="56AE6069" w14:textId="77777777" w:rsidR="001C1725" w:rsidRPr="00993630" w:rsidRDefault="001C1725" w:rsidP="001C1725">
      <w:pPr>
        <w:rPr>
          <w:rFonts w:cstheme="minorHAnsi"/>
          <w:sz w:val="22"/>
          <w:szCs w:val="22"/>
        </w:rPr>
      </w:pPr>
    </w:p>
    <w:p w14:paraId="7AB584BE" w14:textId="77777777" w:rsidR="001C1725" w:rsidRPr="00993630" w:rsidRDefault="001C1725" w:rsidP="001C1725">
      <w:pPr>
        <w:rPr>
          <w:rFonts w:cstheme="minorHAnsi"/>
          <w:sz w:val="22"/>
          <w:szCs w:val="22"/>
        </w:rPr>
      </w:pPr>
      <w:r w:rsidRPr="00993630">
        <w:rPr>
          <w:rFonts w:cstheme="minorHAnsi"/>
          <w:sz w:val="22"/>
          <w:szCs w:val="22"/>
        </w:rPr>
        <w:t xml:space="preserve">At times, patients feel extreme emotional distress, which creates a clinical challenge for patient engagement and education. De-escalation is a technique used to help reduce the intensity of anxiety and conflict. </w:t>
      </w:r>
    </w:p>
    <w:p w14:paraId="20B25CBE" w14:textId="77777777" w:rsidR="001C1725" w:rsidRPr="00993630" w:rsidRDefault="001C1725" w:rsidP="001C1725">
      <w:pPr>
        <w:rPr>
          <w:rFonts w:cstheme="minorHAnsi"/>
          <w:b/>
          <w:bCs/>
          <w:sz w:val="22"/>
          <w:szCs w:val="22"/>
          <w:u w:val="single"/>
        </w:rPr>
      </w:pPr>
    </w:p>
    <w:p w14:paraId="18560157" w14:textId="08B38358" w:rsidR="001C1725" w:rsidRDefault="001C1725" w:rsidP="001C1725">
      <w:pPr>
        <w:rPr>
          <w:rFonts w:cstheme="minorHAnsi"/>
          <w:b/>
          <w:bCs/>
          <w:sz w:val="22"/>
          <w:szCs w:val="22"/>
          <w:u w:val="single"/>
        </w:rPr>
      </w:pPr>
      <w:r w:rsidRPr="00993630">
        <w:rPr>
          <w:rFonts w:cstheme="minorHAnsi"/>
          <w:b/>
          <w:bCs/>
          <w:sz w:val="22"/>
          <w:szCs w:val="22"/>
          <w:u w:val="single"/>
        </w:rPr>
        <w:t>Identifying Escalation</w:t>
      </w:r>
    </w:p>
    <w:p w14:paraId="69C27B91" w14:textId="77777777" w:rsidR="00993630" w:rsidRPr="00993630" w:rsidRDefault="00993630" w:rsidP="00993630">
      <w:pPr>
        <w:rPr>
          <w:rFonts w:cstheme="minorHAnsi"/>
          <w:b/>
          <w:bCs/>
          <w:sz w:val="2"/>
          <w:szCs w:val="2"/>
          <w:u w:val="single"/>
        </w:rPr>
      </w:pPr>
    </w:p>
    <w:tbl>
      <w:tblPr>
        <w:tblStyle w:val="TableGrid"/>
        <w:tblW w:w="0" w:type="auto"/>
        <w:tblLook w:val="04A0" w:firstRow="1" w:lastRow="0" w:firstColumn="1" w:lastColumn="0" w:noHBand="0" w:noVBand="1"/>
      </w:tblPr>
      <w:tblGrid>
        <w:gridCol w:w="2515"/>
        <w:gridCol w:w="3150"/>
        <w:gridCol w:w="3685"/>
      </w:tblGrid>
      <w:tr w:rsidR="001C1725" w:rsidRPr="00993630" w14:paraId="564A943D" w14:textId="77777777" w:rsidTr="00F44D57">
        <w:tc>
          <w:tcPr>
            <w:tcW w:w="2515" w:type="dxa"/>
            <w:shd w:val="clear" w:color="auto" w:fill="D0CECE" w:themeFill="background2" w:themeFillShade="E6"/>
          </w:tcPr>
          <w:p w14:paraId="367E2B2A" w14:textId="77777777" w:rsidR="001C1725" w:rsidRPr="00993630" w:rsidRDefault="001C1725" w:rsidP="00F44D57">
            <w:pPr>
              <w:jc w:val="center"/>
              <w:rPr>
                <w:rFonts w:cstheme="minorHAnsi"/>
                <w:b/>
                <w:bCs/>
                <w:sz w:val="22"/>
                <w:szCs w:val="22"/>
                <w:highlight w:val="lightGray"/>
              </w:rPr>
            </w:pPr>
            <w:r w:rsidRPr="00993630">
              <w:rPr>
                <w:rFonts w:cstheme="minorHAnsi"/>
                <w:b/>
                <w:bCs/>
                <w:sz w:val="22"/>
                <w:szCs w:val="22"/>
                <w:highlight w:val="lightGray"/>
              </w:rPr>
              <w:t>Emotional Signs</w:t>
            </w:r>
          </w:p>
        </w:tc>
        <w:tc>
          <w:tcPr>
            <w:tcW w:w="3150" w:type="dxa"/>
            <w:shd w:val="clear" w:color="auto" w:fill="D0CECE" w:themeFill="background2" w:themeFillShade="E6"/>
          </w:tcPr>
          <w:p w14:paraId="214ACBD1" w14:textId="77777777" w:rsidR="001C1725" w:rsidRPr="00993630" w:rsidRDefault="001C1725" w:rsidP="00F44D57">
            <w:pPr>
              <w:jc w:val="center"/>
              <w:rPr>
                <w:rFonts w:cstheme="minorHAnsi"/>
                <w:b/>
                <w:bCs/>
                <w:sz w:val="22"/>
                <w:szCs w:val="22"/>
                <w:highlight w:val="lightGray"/>
              </w:rPr>
            </w:pPr>
            <w:r w:rsidRPr="00993630">
              <w:rPr>
                <w:rFonts w:cstheme="minorHAnsi"/>
                <w:b/>
                <w:bCs/>
                <w:sz w:val="22"/>
                <w:szCs w:val="22"/>
                <w:highlight w:val="lightGray"/>
              </w:rPr>
              <w:t>Behavioral Signs</w:t>
            </w:r>
          </w:p>
        </w:tc>
        <w:tc>
          <w:tcPr>
            <w:tcW w:w="3685" w:type="dxa"/>
            <w:shd w:val="clear" w:color="auto" w:fill="D0CECE" w:themeFill="background2" w:themeFillShade="E6"/>
          </w:tcPr>
          <w:p w14:paraId="4D79D76F" w14:textId="77777777" w:rsidR="001C1725" w:rsidRPr="00993630" w:rsidRDefault="001C1725" w:rsidP="00F44D57">
            <w:pPr>
              <w:jc w:val="center"/>
              <w:rPr>
                <w:rFonts w:cstheme="minorHAnsi"/>
                <w:b/>
                <w:bCs/>
                <w:sz w:val="22"/>
                <w:szCs w:val="22"/>
                <w:highlight w:val="lightGray"/>
              </w:rPr>
            </w:pPr>
            <w:r w:rsidRPr="00993630">
              <w:rPr>
                <w:rFonts w:cstheme="minorHAnsi"/>
                <w:b/>
                <w:bCs/>
                <w:sz w:val="22"/>
                <w:szCs w:val="22"/>
                <w:highlight w:val="lightGray"/>
              </w:rPr>
              <w:t>Cognitive Signs</w:t>
            </w:r>
          </w:p>
        </w:tc>
      </w:tr>
      <w:tr w:rsidR="001C1725" w:rsidRPr="00993630" w14:paraId="7DCACEAB" w14:textId="77777777" w:rsidTr="00F44D57">
        <w:tc>
          <w:tcPr>
            <w:tcW w:w="2515" w:type="dxa"/>
          </w:tcPr>
          <w:p w14:paraId="0625DCFA" w14:textId="77777777" w:rsidR="001C1725" w:rsidRPr="00993630" w:rsidRDefault="001C1725" w:rsidP="00F44D57">
            <w:pPr>
              <w:rPr>
                <w:rFonts w:cstheme="minorHAnsi"/>
                <w:sz w:val="22"/>
                <w:szCs w:val="22"/>
              </w:rPr>
            </w:pPr>
            <w:r w:rsidRPr="00993630">
              <w:rPr>
                <w:rFonts w:cstheme="minorHAnsi"/>
                <w:sz w:val="22"/>
                <w:szCs w:val="22"/>
              </w:rPr>
              <w:t>Crying</w:t>
            </w:r>
          </w:p>
        </w:tc>
        <w:tc>
          <w:tcPr>
            <w:tcW w:w="3150" w:type="dxa"/>
          </w:tcPr>
          <w:p w14:paraId="759B1D1D" w14:textId="77777777" w:rsidR="001C1725" w:rsidRPr="00993630" w:rsidRDefault="001C1725" w:rsidP="00F44D57">
            <w:pPr>
              <w:rPr>
                <w:rFonts w:cstheme="minorHAnsi"/>
                <w:sz w:val="22"/>
                <w:szCs w:val="22"/>
              </w:rPr>
            </w:pPr>
            <w:r w:rsidRPr="00993630">
              <w:rPr>
                <w:rFonts w:cstheme="minorHAnsi"/>
                <w:sz w:val="22"/>
                <w:szCs w:val="22"/>
              </w:rPr>
              <w:t>Rocking or swaying</w:t>
            </w:r>
          </w:p>
        </w:tc>
        <w:tc>
          <w:tcPr>
            <w:tcW w:w="3685" w:type="dxa"/>
          </w:tcPr>
          <w:p w14:paraId="5AB8C783" w14:textId="77777777" w:rsidR="001C1725" w:rsidRPr="00993630" w:rsidRDefault="001C1725" w:rsidP="00F44D57">
            <w:pPr>
              <w:rPr>
                <w:rFonts w:cstheme="minorHAnsi"/>
                <w:sz w:val="22"/>
                <w:szCs w:val="22"/>
              </w:rPr>
            </w:pPr>
            <w:r w:rsidRPr="00993630">
              <w:rPr>
                <w:rFonts w:cstheme="minorHAnsi"/>
                <w:sz w:val="22"/>
                <w:szCs w:val="22"/>
              </w:rPr>
              <w:t>Defensive statements</w:t>
            </w:r>
          </w:p>
        </w:tc>
      </w:tr>
      <w:tr w:rsidR="001C1725" w:rsidRPr="00993630" w14:paraId="16931B18" w14:textId="77777777" w:rsidTr="00F44D57">
        <w:tc>
          <w:tcPr>
            <w:tcW w:w="2515" w:type="dxa"/>
          </w:tcPr>
          <w:p w14:paraId="68676D68" w14:textId="77777777" w:rsidR="001C1725" w:rsidRPr="00993630" w:rsidRDefault="001C1725" w:rsidP="00F44D57">
            <w:pPr>
              <w:rPr>
                <w:rFonts w:cstheme="minorHAnsi"/>
                <w:sz w:val="22"/>
                <w:szCs w:val="22"/>
              </w:rPr>
            </w:pPr>
            <w:r w:rsidRPr="00993630">
              <w:rPr>
                <w:rFonts w:cstheme="minorHAnsi"/>
                <w:sz w:val="22"/>
                <w:szCs w:val="22"/>
              </w:rPr>
              <w:t>Yelling</w:t>
            </w:r>
          </w:p>
        </w:tc>
        <w:tc>
          <w:tcPr>
            <w:tcW w:w="3150" w:type="dxa"/>
          </w:tcPr>
          <w:p w14:paraId="62DD0F36" w14:textId="77777777" w:rsidR="001C1725" w:rsidRPr="00993630" w:rsidRDefault="001C1725" w:rsidP="00F44D57">
            <w:pPr>
              <w:rPr>
                <w:rFonts w:cstheme="minorHAnsi"/>
                <w:sz w:val="22"/>
                <w:szCs w:val="22"/>
              </w:rPr>
            </w:pPr>
            <w:r w:rsidRPr="00993630">
              <w:rPr>
                <w:rFonts w:cstheme="minorHAnsi"/>
                <w:sz w:val="22"/>
                <w:szCs w:val="22"/>
              </w:rPr>
              <w:t>Shaking extremities</w:t>
            </w:r>
          </w:p>
        </w:tc>
        <w:tc>
          <w:tcPr>
            <w:tcW w:w="3685" w:type="dxa"/>
          </w:tcPr>
          <w:p w14:paraId="559D820D" w14:textId="77777777" w:rsidR="001C1725" w:rsidRPr="00993630" w:rsidRDefault="001C1725" w:rsidP="00F44D57">
            <w:pPr>
              <w:rPr>
                <w:rFonts w:cstheme="minorHAnsi"/>
                <w:sz w:val="22"/>
                <w:szCs w:val="22"/>
              </w:rPr>
            </w:pPr>
            <w:r w:rsidRPr="00993630">
              <w:rPr>
                <w:rFonts w:cstheme="minorHAnsi"/>
                <w:sz w:val="22"/>
                <w:szCs w:val="22"/>
              </w:rPr>
              <w:t>Overgeneralizing, never/always statements</w:t>
            </w:r>
          </w:p>
        </w:tc>
      </w:tr>
      <w:tr w:rsidR="001C1725" w:rsidRPr="00993630" w14:paraId="68271D5D" w14:textId="77777777" w:rsidTr="00F44D57">
        <w:tc>
          <w:tcPr>
            <w:tcW w:w="2515" w:type="dxa"/>
          </w:tcPr>
          <w:p w14:paraId="2483308D" w14:textId="77777777" w:rsidR="001C1725" w:rsidRPr="00993630" w:rsidRDefault="001C1725" w:rsidP="00F44D57">
            <w:pPr>
              <w:rPr>
                <w:rFonts w:cstheme="minorHAnsi"/>
                <w:sz w:val="22"/>
                <w:szCs w:val="22"/>
              </w:rPr>
            </w:pPr>
            <w:r w:rsidRPr="00993630">
              <w:rPr>
                <w:rFonts w:cstheme="minorHAnsi"/>
                <w:sz w:val="22"/>
                <w:szCs w:val="22"/>
              </w:rPr>
              <w:t>Mutism</w:t>
            </w:r>
          </w:p>
        </w:tc>
        <w:tc>
          <w:tcPr>
            <w:tcW w:w="3150" w:type="dxa"/>
          </w:tcPr>
          <w:p w14:paraId="57EA59FA" w14:textId="77777777" w:rsidR="001C1725" w:rsidRPr="00993630" w:rsidRDefault="001C1725" w:rsidP="00F44D57">
            <w:pPr>
              <w:rPr>
                <w:rFonts w:cstheme="minorHAnsi"/>
                <w:sz w:val="22"/>
                <w:szCs w:val="22"/>
              </w:rPr>
            </w:pPr>
            <w:r w:rsidRPr="00993630">
              <w:rPr>
                <w:rFonts w:cstheme="minorHAnsi"/>
                <w:sz w:val="22"/>
                <w:szCs w:val="22"/>
              </w:rPr>
              <w:t>Body tension/clenched fists</w:t>
            </w:r>
          </w:p>
        </w:tc>
        <w:tc>
          <w:tcPr>
            <w:tcW w:w="3685" w:type="dxa"/>
          </w:tcPr>
          <w:p w14:paraId="548AB3F8" w14:textId="77777777" w:rsidR="001C1725" w:rsidRPr="00993630" w:rsidRDefault="001C1725" w:rsidP="00F44D57">
            <w:pPr>
              <w:rPr>
                <w:rFonts w:cstheme="minorHAnsi"/>
                <w:sz w:val="22"/>
                <w:szCs w:val="22"/>
              </w:rPr>
            </w:pPr>
            <w:r w:rsidRPr="00993630">
              <w:rPr>
                <w:rFonts w:cstheme="minorHAnsi"/>
                <w:sz w:val="22"/>
                <w:szCs w:val="22"/>
              </w:rPr>
              <w:t>Black-or-white thinking</w:t>
            </w:r>
          </w:p>
        </w:tc>
      </w:tr>
      <w:tr w:rsidR="001C1725" w:rsidRPr="00993630" w14:paraId="79895997" w14:textId="77777777" w:rsidTr="00F44D57">
        <w:tc>
          <w:tcPr>
            <w:tcW w:w="2515" w:type="dxa"/>
          </w:tcPr>
          <w:p w14:paraId="3F9E64AF" w14:textId="77777777" w:rsidR="001C1725" w:rsidRPr="00993630" w:rsidRDefault="001C1725" w:rsidP="00F44D57">
            <w:pPr>
              <w:rPr>
                <w:rFonts w:cstheme="minorHAnsi"/>
                <w:sz w:val="22"/>
                <w:szCs w:val="22"/>
              </w:rPr>
            </w:pPr>
            <w:r w:rsidRPr="00993630">
              <w:rPr>
                <w:rFonts w:cstheme="minorHAnsi"/>
                <w:sz w:val="22"/>
                <w:szCs w:val="22"/>
              </w:rPr>
              <w:t>Arguing</w:t>
            </w:r>
          </w:p>
        </w:tc>
        <w:tc>
          <w:tcPr>
            <w:tcW w:w="3150" w:type="dxa"/>
          </w:tcPr>
          <w:p w14:paraId="3A8956A1" w14:textId="77777777" w:rsidR="001C1725" w:rsidRPr="00993630" w:rsidRDefault="001C1725" w:rsidP="00F44D57">
            <w:pPr>
              <w:rPr>
                <w:rFonts w:cstheme="minorHAnsi"/>
                <w:sz w:val="22"/>
                <w:szCs w:val="22"/>
              </w:rPr>
            </w:pPr>
            <w:r w:rsidRPr="00993630">
              <w:rPr>
                <w:rFonts w:cstheme="minorHAnsi"/>
                <w:sz w:val="22"/>
                <w:szCs w:val="22"/>
              </w:rPr>
              <w:t>Pacing or skittish behaviors</w:t>
            </w:r>
          </w:p>
        </w:tc>
        <w:tc>
          <w:tcPr>
            <w:tcW w:w="3685" w:type="dxa"/>
          </w:tcPr>
          <w:p w14:paraId="41CD3C26" w14:textId="77777777" w:rsidR="001C1725" w:rsidRPr="00993630" w:rsidRDefault="001C1725" w:rsidP="00F44D57">
            <w:pPr>
              <w:rPr>
                <w:rFonts w:cstheme="minorHAnsi"/>
                <w:sz w:val="22"/>
                <w:szCs w:val="22"/>
              </w:rPr>
            </w:pPr>
            <w:r w:rsidRPr="00993630">
              <w:rPr>
                <w:rFonts w:cstheme="minorHAnsi"/>
                <w:sz w:val="22"/>
                <w:szCs w:val="22"/>
              </w:rPr>
              <w:t>Blaming</w:t>
            </w:r>
          </w:p>
        </w:tc>
      </w:tr>
      <w:tr w:rsidR="001C1725" w:rsidRPr="00993630" w14:paraId="072E1F27" w14:textId="77777777" w:rsidTr="00F44D57">
        <w:tc>
          <w:tcPr>
            <w:tcW w:w="2515" w:type="dxa"/>
          </w:tcPr>
          <w:p w14:paraId="253EE341" w14:textId="77777777" w:rsidR="001C1725" w:rsidRPr="00993630" w:rsidRDefault="001C1725" w:rsidP="00F44D57">
            <w:pPr>
              <w:rPr>
                <w:rFonts w:cstheme="minorHAnsi"/>
                <w:sz w:val="22"/>
                <w:szCs w:val="22"/>
              </w:rPr>
            </w:pPr>
            <w:r w:rsidRPr="00993630">
              <w:rPr>
                <w:rFonts w:cstheme="minorHAnsi"/>
                <w:sz w:val="22"/>
                <w:szCs w:val="22"/>
              </w:rPr>
              <w:t>Inappropriate laughter</w:t>
            </w:r>
          </w:p>
        </w:tc>
        <w:tc>
          <w:tcPr>
            <w:tcW w:w="3150" w:type="dxa"/>
          </w:tcPr>
          <w:p w14:paraId="78A0EF94" w14:textId="77777777" w:rsidR="001C1725" w:rsidRPr="00993630" w:rsidRDefault="001C1725" w:rsidP="00F44D57">
            <w:pPr>
              <w:rPr>
                <w:rFonts w:cstheme="minorHAnsi"/>
                <w:sz w:val="22"/>
                <w:szCs w:val="22"/>
              </w:rPr>
            </w:pPr>
            <w:r w:rsidRPr="00993630">
              <w:rPr>
                <w:rFonts w:cstheme="minorHAnsi"/>
                <w:sz w:val="22"/>
                <w:szCs w:val="22"/>
              </w:rPr>
              <w:t>Rapid breathing</w:t>
            </w:r>
          </w:p>
        </w:tc>
        <w:tc>
          <w:tcPr>
            <w:tcW w:w="3685" w:type="dxa"/>
          </w:tcPr>
          <w:p w14:paraId="5113FF18" w14:textId="77777777" w:rsidR="001C1725" w:rsidRPr="00993630" w:rsidRDefault="001C1725" w:rsidP="00F44D57">
            <w:pPr>
              <w:rPr>
                <w:rFonts w:cstheme="minorHAnsi"/>
                <w:sz w:val="22"/>
                <w:szCs w:val="22"/>
              </w:rPr>
            </w:pPr>
            <w:r w:rsidRPr="00993630">
              <w:rPr>
                <w:rFonts w:cstheme="minorHAnsi"/>
                <w:sz w:val="22"/>
                <w:szCs w:val="22"/>
              </w:rPr>
              <w:t>Obsessions/preoccupations</w:t>
            </w:r>
          </w:p>
        </w:tc>
      </w:tr>
      <w:tr w:rsidR="001C1725" w:rsidRPr="00993630" w14:paraId="396C20AE" w14:textId="77777777" w:rsidTr="00F44D57">
        <w:tc>
          <w:tcPr>
            <w:tcW w:w="2515" w:type="dxa"/>
          </w:tcPr>
          <w:p w14:paraId="0F6DD012" w14:textId="77777777" w:rsidR="001C1725" w:rsidRPr="00993630" w:rsidRDefault="001C1725" w:rsidP="00F44D57">
            <w:pPr>
              <w:rPr>
                <w:rFonts w:cstheme="minorHAnsi"/>
                <w:sz w:val="22"/>
                <w:szCs w:val="22"/>
              </w:rPr>
            </w:pPr>
            <w:r w:rsidRPr="00993630">
              <w:rPr>
                <w:rFonts w:cstheme="minorHAnsi"/>
                <w:sz w:val="22"/>
                <w:szCs w:val="22"/>
              </w:rPr>
              <w:t>Fear</w:t>
            </w:r>
          </w:p>
        </w:tc>
        <w:tc>
          <w:tcPr>
            <w:tcW w:w="3150" w:type="dxa"/>
          </w:tcPr>
          <w:p w14:paraId="02D3FF29" w14:textId="77777777" w:rsidR="001C1725" w:rsidRPr="00993630" w:rsidRDefault="001C1725" w:rsidP="00F44D57">
            <w:pPr>
              <w:rPr>
                <w:rFonts w:cstheme="minorHAnsi"/>
                <w:sz w:val="22"/>
                <w:szCs w:val="22"/>
              </w:rPr>
            </w:pPr>
            <w:r w:rsidRPr="00993630">
              <w:rPr>
                <w:rFonts w:cstheme="minorHAnsi"/>
                <w:sz w:val="22"/>
                <w:szCs w:val="22"/>
              </w:rPr>
              <w:t>Pressured speech</w:t>
            </w:r>
          </w:p>
        </w:tc>
        <w:tc>
          <w:tcPr>
            <w:tcW w:w="3685" w:type="dxa"/>
          </w:tcPr>
          <w:p w14:paraId="19F0795A" w14:textId="77777777" w:rsidR="001C1725" w:rsidRPr="00993630" w:rsidRDefault="001C1725" w:rsidP="00F44D57">
            <w:pPr>
              <w:rPr>
                <w:rFonts w:cstheme="minorHAnsi"/>
                <w:sz w:val="22"/>
                <w:szCs w:val="22"/>
              </w:rPr>
            </w:pPr>
            <w:r w:rsidRPr="00993630">
              <w:rPr>
                <w:rFonts w:cstheme="minorHAnsi"/>
                <w:sz w:val="22"/>
                <w:szCs w:val="22"/>
              </w:rPr>
              <w:t>Refusing to listen</w:t>
            </w:r>
          </w:p>
        </w:tc>
      </w:tr>
      <w:tr w:rsidR="001C1725" w:rsidRPr="00993630" w14:paraId="46E50FBB" w14:textId="77777777" w:rsidTr="00F44D57">
        <w:tc>
          <w:tcPr>
            <w:tcW w:w="2515" w:type="dxa"/>
          </w:tcPr>
          <w:p w14:paraId="042E796C" w14:textId="77777777" w:rsidR="001C1725" w:rsidRPr="00993630" w:rsidRDefault="001C1725" w:rsidP="00F44D57">
            <w:pPr>
              <w:rPr>
                <w:rFonts w:cstheme="minorHAnsi"/>
                <w:sz w:val="22"/>
                <w:szCs w:val="22"/>
              </w:rPr>
            </w:pPr>
            <w:r w:rsidRPr="00993630">
              <w:rPr>
                <w:rFonts w:cstheme="minorHAnsi"/>
                <w:sz w:val="22"/>
                <w:szCs w:val="22"/>
              </w:rPr>
              <w:t>Confusion</w:t>
            </w:r>
          </w:p>
        </w:tc>
        <w:tc>
          <w:tcPr>
            <w:tcW w:w="3150" w:type="dxa"/>
          </w:tcPr>
          <w:p w14:paraId="05F4DF48" w14:textId="77777777" w:rsidR="001C1725" w:rsidRPr="00993630" w:rsidRDefault="001C1725" w:rsidP="00F44D57">
            <w:pPr>
              <w:rPr>
                <w:rFonts w:cstheme="minorHAnsi"/>
                <w:sz w:val="22"/>
                <w:szCs w:val="22"/>
              </w:rPr>
            </w:pPr>
            <w:r w:rsidRPr="00993630">
              <w:rPr>
                <w:rFonts w:cstheme="minorHAnsi"/>
                <w:sz w:val="22"/>
                <w:szCs w:val="22"/>
              </w:rPr>
              <w:t>Poor eye contact</w:t>
            </w:r>
          </w:p>
        </w:tc>
        <w:tc>
          <w:tcPr>
            <w:tcW w:w="3685" w:type="dxa"/>
          </w:tcPr>
          <w:p w14:paraId="1E2685BB" w14:textId="77777777" w:rsidR="001C1725" w:rsidRPr="00993630" w:rsidRDefault="001C1725" w:rsidP="00F44D57">
            <w:pPr>
              <w:rPr>
                <w:rFonts w:cstheme="minorHAnsi"/>
                <w:sz w:val="22"/>
                <w:szCs w:val="22"/>
              </w:rPr>
            </w:pPr>
          </w:p>
        </w:tc>
      </w:tr>
    </w:tbl>
    <w:p w14:paraId="5C9946A2" w14:textId="77777777" w:rsidR="001C1725" w:rsidRPr="00993630" w:rsidRDefault="001C1725" w:rsidP="001C1725">
      <w:pPr>
        <w:jc w:val="center"/>
        <w:rPr>
          <w:rFonts w:cstheme="minorHAnsi"/>
          <w:b/>
          <w:bCs/>
          <w:sz w:val="22"/>
          <w:szCs w:val="22"/>
          <w:u w:val="single"/>
        </w:rPr>
      </w:pPr>
    </w:p>
    <w:p w14:paraId="7F379C8C" w14:textId="77777777" w:rsidR="001C1725" w:rsidRPr="00993630" w:rsidRDefault="001C1725" w:rsidP="001C1725">
      <w:pPr>
        <w:rPr>
          <w:rFonts w:cstheme="minorHAnsi"/>
          <w:b/>
          <w:bCs/>
          <w:sz w:val="22"/>
          <w:szCs w:val="22"/>
          <w:u w:val="single"/>
        </w:rPr>
      </w:pPr>
      <w:r w:rsidRPr="00993630">
        <w:rPr>
          <w:rFonts w:cstheme="minorHAnsi"/>
          <w:b/>
          <w:bCs/>
          <w:sz w:val="22"/>
          <w:szCs w:val="22"/>
          <w:u w:val="single"/>
        </w:rPr>
        <w:t>De-Escalation Techniques</w:t>
      </w:r>
    </w:p>
    <w:p w14:paraId="137DB60D" w14:textId="77777777" w:rsidR="001C1725" w:rsidRPr="00993630" w:rsidRDefault="001C1725" w:rsidP="00993630">
      <w:pPr>
        <w:pStyle w:val="ListParagraph"/>
        <w:numPr>
          <w:ilvl w:val="0"/>
          <w:numId w:val="10"/>
        </w:numPr>
        <w:ind w:left="360"/>
        <w:rPr>
          <w:rFonts w:cstheme="minorHAnsi"/>
          <w:sz w:val="22"/>
          <w:szCs w:val="22"/>
        </w:rPr>
      </w:pPr>
      <w:r w:rsidRPr="00993630">
        <w:rPr>
          <w:rFonts w:cstheme="minorHAnsi"/>
          <w:sz w:val="22"/>
          <w:szCs w:val="22"/>
        </w:rPr>
        <w:t>Identify/explain who you are and how you’re connected to a shared goal or objective.</w:t>
      </w:r>
    </w:p>
    <w:p w14:paraId="58BDC8B1" w14:textId="77777777" w:rsidR="001C1725" w:rsidRPr="00993630" w:rsidRDefault="001C1725" w:rsidP="00993630">
      <w:pPr>
        <w:pStyle w:val="ListParagraph"/>
        <w:numPr>
          <w:ilvl w:val="0"/>
          <w:numId w:val="10"/>
        </w:numPr>
        <w:ind w:left="360"/>
        <w:rPr>
          <w:rFonts w:cstheme="minorHAnsi"/>
          <w:sz w:val="22"/>
          <w:szCs w:val="22"/>
        </w:rPr>
      </w:pPr>
      <w:r w:rsidRPr="00993630">
        <w:rPr>
          <w:rFonts w:cstheme="minorHAnsi"/>
          <w:sz w:val="22"/>
          <w:szCs w:val="22"/>
        </w:rPr>
        <w:t xml:space="preserve">Know the patient’s background (e.g., behavioral health, homelessness, family history, etc.). </w:t>
      </w:r>
    </w:p>
    <w:p w14:paraId="03C92272" w14:textId="77777777" w:rsidR="001C1725" w:rsidRPr="00993630" w:rsidRDefault="001C1725" w:rsidP="00993630">
      <w:pPr>
        <w:pStyle w:val="ListParagraph"/>
        <w:numPr>
          <w:ilvl w:val="0"/>
          <w:numId w:val="10"/>
        </w:numPr>
        <w:ind w:left="360"/>
        <w:rPr>
          <w:rFonts w:cstheme="minorHAnsi"/>
          <w:sz w:val="22"/>
          <w:szCs w:val="22"/>
        </w:rPr>
      </w:pPr>
      <w:r w:rsidRPr="00993630">
        <w:rPr>
          <w:rFonts w:cstheme="minorHAnsi"/>
          <w:sz w:val="22"/>
          <w:szCs w:val="22"/>
        </w:rPr>
        <w:t xml:space="preserve">Use active listening and encourage cooperation. Use verbal and non-verbal acknowledgement of what the patient is communicating. </w:t>
      </w:r>
    </w:p>
    <w:p w14:paraId="563B115B" w14:textId="77777777" w:rsidR="001C1725" w:rsidRPr="00993630" w:rsidRDefault="001C1725" w:rsidP="00993630">
      <w:pPr>
        <w:pStyle w:val="ListParagraph"/>
        <w:numPr>
          <w:ilvl w:val="0"/>
          <w:numId w:val="10"/>
        </w:numPr>
        <w:ind w:left="360"/>
        <w:rPr>
          <w:rFonts w:cstheme="minorHAnsi"/>
          <w:sz w:val="22"/>
          <w:szCs w:val="22"/>
        </w:rPr>
      </w:pPr>
      <w:r w:rsidRPr="00993630">
        <w:rPr>
          <w:rFonts w:cstheme="minorHAnsi"/>
          <w:sz w:val="22"/>
          <w:szCs w:val="22"/>
        </w:rPr>
        <w:t>Use reflective statements (e.g., “Tell me if I have this right…[summarize what you heard].”</w:t>
      </w:r>
    </w:p>
    <w:p w14:paraId="3315B4C3" w14:textId="77777777" w:rsidR="001C1725" w:rsidRPr="00993630" w:rsidRDefault="001C1725" w:rsidP="00993630">
      <w:pPr>
        <w:pStyle w:val="ListParagraph"/>
        <w:numPr>
          <w:ilvl w:val="0"/>
          <w:numId w:val="10"/>
        </w:numPr>
        <w:ind w:left="360"/>
        <w:rPr>
          <w:rFonts w:cstheme="minorHAnsi"/>
          <w:sz w:val="22"/>
          <w:szCs w:val="22"/>
        </w:rPr>
      </w:pPr>
      <w:r w:rsidRPr="00993630">
        <w:rPr>
          <w:rFonts w:cstheme="minorHAnsi"/>
          <w:sz w:val="22"/>
          <w:szCs w:val="22"/>
        </w:rPr>
        <w:t>Avoid medical jargon.</w:t>
      </w:r>
    </w:p>
    <w:p w14:paraId="62C47B79" w14:textId="77777777" w:rsidR="001C1725" w:rsidRPr="00993630" w:rsidRDefault="001C1725" w:rsidP="00993630">
      <w:pPr>
        <w:pStyle w:val="ListParagraph"/>
        <w:numPr>
          <w:ilvl w:val="0"/>
          <w:numId w:val="10"/>
        </w:numPr>
        <w:ind w:left="360"/>
        <w:rPr>
          <w:rFonts w:cstheme="minorHAnsi"/>
          <w:sz w:val="22"/>
          <w:szCs w:val="22"/>
        </w:rPr>
      </w:pPr>
      <w:r w:rsidRPr="00993630">
        <w:rPr>
          <w:rFonts w:cstheme="minorHAnsi"/>
          <w:sz w:val="22"/>
          <w:szCs w:val="22"/>
        </w:rPr>
        <w:t>Be clear and concise.</w:t>
      </w:r>
    </w:p>
    <w:p w14:paraId="26C1BA9C" w14:textId="77777777" w:rsidR="001C1725" w:rsidRPr="00993630" w:rsidRDefault="001C1725" w:rsidP="00993630">
      <w:pPr>
        <w:pStyle w:val="ListParagraph"/>
        <w:numPr>
          <w:ilvl w:val="0"/>
          <w:numId w:val="10"/>
        </w:numPr>
        <w:ind w:left="360"/>
        <w:rPr>
          <w:rFonts w:cstheme="minorHAnsi"/>
          <w:sz w:val="22"/>
          <w:szCs w:val="22"/>
        </w:rPr>
      </w:pPr>
      <w:r w:rsidRPr="00993630">
        <w:rPr>
          <w:rFonts w:cstheme="minorHAnsi"/>
          <w:sz w:val="22"/>
          <w:szCs w:val="22"/>
        </w:rPr>
        <w:t>Set boundaries, but do not argue.</w:t>
      </w:r>
    </w:p>
    <w:p w14:paraId="7120AA7E" w14:textId="77777777" w:rsidR="001C1725" w:rsidRPr="00993630" w:rsidRDefault="001C1725" w:rsidP="001C1725">
      <w:pPr>
        <w:pStyle w:val="ListParagraph"/>
        <w:rPr>
          <w:rFonts w:cstheme="minorHAnsi"/>
          <w:sz w:val="22"/>
          <w:szCs w:val="22"/>
        </w:rPr>
      </w:pPr>
    </w:p>
    <w:p w14:paraId="0D3989FB" w14:textId="77777777" w:rsidR="001C1725" w:rsidRPr="00993630" w:rsidRDefault="001C1725" w:rsidP="001C1725">
      <w:pPr>
        <w:rPr>
          <w:rFonts w:cstheme="minorHAnsi"/>
          <w:b/>
          <w:bCs/>
          <w:sz w:val="22"/>
          <w:szCs w:val="22"/>
          <w:u w:val="single"/>
        </w:rPr>
      </w:pPr>
      <w:r w:rsidRPr="00993630">
        <w:rPr>
          <w:rFonts w:cstheme="minorHAnsi"/>
          <w:b/>
          <w:bCs/>
          <w:sz w:val="22"/>
          <w:szCs w:val="22"/>
          <w:u w:val="single"/>
        </w:rPr>
        <w:t>Clinician/Provider Behavior</w:t>
      </w:r>
    </w:p>
    <w:p w14:paraId="736F0C5E" w14:textId="77777777" w:rsidR="001C1725" w:rsidRPr="00993630" w:rsidRDefault="001C1725" w:rsidP="00993630">
      <w:pPr>
        <w:pStyle w:val="ListParagraph"/>
        <w:numPr>
          <w:ilvl w:val="0"/>
          <w:numId w:val="9"/>
        </w:numPr>
        <w:ind w:left="360"/>
        <w:rPr>
          <w:rFonts w:cstheme="minorHAnsi"/>
          <w:sz w:val="22"/>
          <w:szCs w:val="22"/>
        </w:rPr>
      </w:pPr>
      <w:r w:rsidRPr="00993630">
        <w:rPr>
          <w:rFonts w:cstheme="minorHAnsi"/>
          <w:sz w:val="22"/>
          <w:szCs w:val="22"/>
        </w:rPr>
        <w:t>Be a mirror:</w:t>
      </w:r>
    </w:p>
    <w:p w14:paraId="063A561B" w14:textId="77777777" w:rsidR="001C1725" w:rsidRPr="00993630" w:rsidRDefault="001C1725" w:rsidP="00993630">
      <w:pPr>
        <w:pStyle w:val="ListParagraph"/>
        <w:numPr>
          <w:ilvl w:val="1"/>
          <w:numId w:val="9"/>
        </w:numPr>
        <w:ind w:left="720"/>
        <w:rPr>
          <w:rFonts w:cstheme="minorHAnsi"/>
          <w:sz w:val="22"/>
          <w:szCs w:val="22"/>
        </w:rPr>
      </w:pPr>
      <w:r w:rsidRPr="00993630">
        <w:rPr>
          <w:rFonts w:cstheme="minorHAnsi"/>
          <w:sz w:val="22"/>
          <w:szCs w:val="22"/>
        </w:rPr>
        <w:t>If you reflect a calm, cooperative and normal tone, the patient will start to mirror this behavior.</w:t>
      </w:r>
    </w:p>
    <w:p w14:paraId="07060947" w14:textId="77777777" w:rsidR="001C1725" w:rsidRPr="00993630" w:rsidRDefault="001C1725" w:rsidP="00993630">
      <w:pPr>
        <w:pStyle w:val="ListParagraph"/>
        <w:numPr>
          <w:ilvl w:val="1"/>
          <w:numId w:val="9"/>
        </w:numPr>
        <w:ind w:left="720"/>
        <w:rPr>
          <w:rFonts w:cstheme="minorHAnsi"/>
          <w:sz w:val="22"/>
          <w:szCs w:val="22"/>
        </w:rPr>
      </w:pPr>
      <w:r w:rsidRPr="00993630">
        <w:rPr>
          <w:rFonts w:cstheme="minorHAnsi"/>
          <w:sz w:val="22"/>
          <w:szCs w:val="22"/>
        </w:rPr>
        <w:t xml:space="preserve">Proper tone can help de-escalate by conveying empathy, or a non-emotional response. </w:t>
      </w:r>
    </w:p>
    <w:p w14:paraId="0D9E9681" w14:textId="77777777" w:rsidR="001C1725" w:rsidRPr="00993630" w:rsidRDefault="001C1725" w:rsidP="00993630">
      <w:pPr>
        <w:pStyle w:val="ListParagraph"/>
        <w:numPr>
          <w:ilvl w:val="0"/>
          <w:numId w:val="9"/>
        </w:numPr>
        <w:ind w:left="360"/>
        <w:rPr>
          <w:rFonts w:cstheme="minorHAnsi"/>
          <w:sz w:val="22"/>
          <w:szCs w:val="22"/>
        </w:rPr>
      </w:pPr>
      <w:r w:rsidRPr="00993630">
        <w:rPr>
          <w:rFonts w:cstheme="minorHAnsi"/>
          <w:sz w:val="22"/>
          <w:szCs w:val="22"/>
        </w:rPr>
        <w:t>Display neutrality:</w:t>
      </w:r>
    </w:p>
    <w:p w14:paraId="18007EB3" w14:textId="77777777" w:rsidR="001C1725" w:rsidRPr="00993630" w:rsidRDefault="001C1725" w:rsidP="00993630">
      <w:pPr>
        <w:pStyle w:val="ListParagraph"/>
        <w:numPr>
          <w:ilvl w:val="1"/>
          <w:numId w:val="9"/>
        </w:numPr>
        <w:ind w:left="720"/>
        <w:rPr>
          <w:rFonts w:cstheme="minorHAnsi"/>
          <w:sz w:val="22"/>
          <w:szCs w:val="22"/>
        </w:rPr>
      </w:pPr>
      <w:r w:rsidRPr="00993630">
        <w:rPr>
          <w:rFonts w:cstheme="minorHAnsi"/>
          <w:sz w:val="22"/>
          <w:szCs w:val="22"/>
        </w:rPr>
        <w:t>Keep a neutral facial expression and/or tone.</w:t>
      </w:r>
    </w:p>
    <w:p w14:paraId="66095677" w14:textId="77777777" w:rsidR="001C1725" w:rsidRPr="00993630" w:rsidRDefault="001C1725" w:rsidP="00993630">
      <w:pPr>
        <w:pStyle w:val="ListParagraph"/>
        <w:numPr>
          <w:ilvl w:val="0"/>
          <w:numId w:val="9"/>
        </w:numPr>
        <w:ind w:left="360"/>
        <w:rPr>
          <w:rFonts w:cstheme="minorHAnsi"/>
          <w:sz w:val="22"/>
          <w:szCs w:val="22"/>
        </w:rPr>
      </w:pPr>
      <w:r w:rsidRPr="00993630">
        <w:rPr>
          <w:rFonts w:cstheme="minorHAnsi"/>
          <w:sz w:val="22"/>
          <w:szCs w:val="22"/>
        </w:rPr>
        <w:t>Maintain a non-defensive posture:</w:t>
      </w:r>
    </w:p>
    <w:p w14:paraId="0F471157" w14:textId="77777777" w:rsidR="001C1725" w:rsidRPr="00993630" w:rsidRDefault="001C1725" w:rsidP="00993630">
      <w:pPr>
        <w:pStyle w:val="ListParagraph"/>
        <w:numPr>
          <w:ilvl w:val="1"/>
          <w:numId w:val="9"/>
        </w:numPr>
        <w:ind w:left="720"/>
        <w:rPr>
          <w:rFonts w:cstheme="minorHAnsi"/>
          <w:sz w:val="22"/>
          <w:szCs w:val="22"/>
        </w:rPr>
      </w:pPr>
      <w:r w:rsidRPr="00993630">
        <w:rPr>
          <w:rFonts w:cstheme="minorHAnsi"/>
          <w:sz w:val="22"/>
          <w:szCs w:val="22"/>
        </w:rPr>
        <w:t>Relax your body and tone of voice. Keep your arms and hands in front of your body, open and relaxed.</w:t>
      </w:r>
    </w:p>
    <w:p w14:paraId="3470DE9E" w14:textId="77777777" w:rsidR="001C1725" w:rsidRPr="00993630" w:rsidRDefault="001C1725" w:rsidP="00993630">
      <w:pPr>
        <w:pStyle w:val="ListParagraph"/>
        <w:numPr>
          <w:ilvl w:val="1"/>
          <w:numId w:val="9"/>
        </w:numPr>
        <w:ind w:left="720"/>
        <w:rPr>
          <w:rFonts w:cstheme="minorHAnsi"/>
          <w:sz w:val="22"/>
          <w:szCs w:val="22"/>
        </w:rPr>
      </w:pPr>
      <w:r w:rsidRPr="00993630">
        <w:rPr>
          <w:rFonts w:cstheme="minorHAnsi"/>
          <w:sz w:val="22"/>
          <w:szCs w:val="22"/>
        </w:rPr>
        <w:t>Minimize gesturing, pacing and fidgeting, since these are signs of nervousness and increase agitation in others.</w:t>
      </w:r>
    </w:p>
    <w:p w14:paraId="69192D16" w14:textId="77777777" w:rsidR="001C1725" w:rsidRPr="00993630" w:rsidRDefault="001C1725" w:rsidP="00993630">
      <w:pPr>
        <w:pStyle w:val="ListParagraph"/>
        <w:numPr>
          <w:ilvl w:val="0"/>
          <w:numId w:val="9"/>
        </w:numPr>
        <w:ind w:left="450" w:hanging="450"/>
        <w:rPr>
          <w:rFonts w:cstheme="minorHAnsi"/>
          <w:sz w:val="22"/>
          <w:szCs w:val="22"/>
        </w:rPr>
      </w:pPr>
      <w:r w:rsidRPr="00993630">
        <w:rPr>
          <w:rFonts w:cstheme="minorHAnsi"/>
          <w:sz w:val="22"/>
          <w:szCs w:val="22"/>
        </w:rPr>
        <w:t>Maintain eye contact:</w:t>
      </w:r>
    </w:p>
    <w:p w14:paraId="05E38F18" w14:textId="77777777" w:rsidR="001C1725" w:rsidRPr="00993630" w:rsidRDefault="001C1725" w:rsidP="00993630">
      <w:pPr>
        <w:pStyle w:val="ListParagraph"/>
        <w:numPr>
          <w:ilvl w:val="1"/>
          <w:numId w:val="9"/>
        </w:numPr>
        <w:ind w:left="450" w:hanging="90"/>
        <w:rPr>
          <w:rFonts w:cstheme="minorHAnsi"/>
          <w:sz w:val="22"/>
          <w:szCs w:val="22"/>
        </w:rPr>
      </w:pPr>
      <w:r w:rsidRPr="00993630">
        <w:rPr>
          <w:rFonts w:cstheme="minorHAnsi"/>
          <w:sz w:val="22"/>
          <w:szCs w:val="22"/>
        </w:rPr>
        <w:t>Focus on consistent eye contact with the patient, but do not force eye contact.</w:t>
      </w:r>
    </w:p>
    <w:p w14:paraId="4C1162DE" w14:textId="77777777" w:rsidR="00993630" w:rsidRDefault="001C1725" w:rsidP="00993630">
      <w:pPr>
        <w:rPr>
          <w:rFonts w:cstheme="minorHAnsi"/>
          <w:b/>
          <w:bCs/>
          <w:sz w:val="22"/>
          <w:szCs w:val="22"/>
          <w:u w:val="single"/>
        </w:rPr>
      </w:pPr>
      <w:r w:rsidRPr="00993630">
        <w:rPr>
          <w:rFonts w:cstheme="minorHAnsi"/>
          <w:b/>
          <w:bCs/>
          <w:sz w:val="22"/>
          <w:szCs w:val="22"/>
          <w:u w:val="single"/>
        </w:rPr>
        <w:lastRenderedPageBreak/>
        <w:t>Patient Self-Management and Resources</w:t>
      </w:r>
    </w:p>
    <w:p w14:paraId="7FF419C2" w14:textId="7F1B0EBD" w:rsidR="001C1725" w:rsidRPr="00993630" w:rsidRDefault="001C1725" w:rsidP="00993630">
      <w:pPr>
        <w:pStyle w:val="ListParagraph"/>
        <w:numPr>
          <w:ilvl w:val="0"/>
          <w:numId w:val="17"/>
        </w:numPr>
        <w:rPr>
          <w:rFonts w:cstheme="minorHAnsi"/>
          <w:b/>
          <w:bCs/>
          <w:sz w:val="22"/>
          <w:szCs w:val="22"/>
          <w:u w:val="single"/>
        </w:rPr>
      </w:pPr>
      <w:r w:rsidRPr="00993630">
        <w:rPr>
          <w:rFonts w:eastAsia="Times New Roman" w:cstheme="minorHAnsi"/>
          <w:color w:val="000000"/>
          <w:sz w:val="22"/>
          <w:szCs w:val="22"/>
        </w:rPr>
        <w:t>Avoid excessive exposure to media coverage of COVID-19.</w:t>
      </w:r>
    </w:p>
    <w:p w14:paraId="528D1CAA" w14:textId="77777777" w:rsidR="001C1725" w:rsidRPr="00993630" w:rsidRDefault="001C1725" w:rsidP="00993630">
      <w:pPr>
        <w:pStyle w:val="ListParagraph"/>
        <w:numPr>
          <w:ilvl w:val="0"/>
          <w:numId w:val="17"/>
        </w:numPr>
        <w:shd w:val="clear" w:color="auto" w:fill="FFFFFF"/>
        <w:spacing w:before="100" w:beforeAutospacing="1" w:after="100" w:afterAutospacing="1"/>
        <w:rPr>
          <w:rFonts w:eastAsia="Times New Roman" w:cstheme="minorHAnsi"/>
          <w:color w:val="000000"/>
          <w:sz w:val="22"/>
          <w:szCs w:val="22"/>
        </w:rPr>
      </w:pPr>
      <w:r w:rsidRPr="00993630">
        <w:rPr>
          <w:rFonts w:eastAsia="Times New Roman" w:cstheme="minorHAnsi"/>
          <w:color w:val="000000"/>
          <w:sz w:val="22"/>
          <w:szCs w:val="22"/>
        </w:rPr>
        <w:t>Take care of your body. Take deep breaths, stretch or meditate. Try to eat healthy, well-balanced meals, exercise regularly, get plenty of sleep and avoid alcohol and drugs.</w:t>
      </w:r>
    </w:p>
    <w:p w14:paraId="0A9182E6" w14:textId="77777777" w:rsidR="001C1725" w:rsidRPr="00993630" w:rsidRDefault="001C1725" w:rsidP="00993630">
      <w:pPr>
        <w:pStyle w:val="ListParagraph"/>
        <w:numPr>
          <w:ilvl w:val="0"/>
          <w:numId w:val="17"/>
        </w:numPr>
        <w:shd w:val="clear" w:color="auto" w:fill="FFFFFF"/>
        <w:spacing w:before="100" w:beforeAutospacing="1" w:after="100" w:afterAutospacing="1"/>
        <w:rPr>
          <w:rFonts w:eastAsia="Times New Roman" w:cstheme="minorHAnsi"/>
          <w:color w:val="000000"/>
          <w:sz w:val="22"/>
          <w:szCs w:val="22"/>
        </w:rPr>
      </w:pPr>
      <w:r w:rsidRPr="00993630">
        <w:rPr>
          <w:rFonts w:eastAsia="Times New Roman" w:cstheme="minorHAnsi"/>
          <w:color w:val="000000"/>
          <w:sz w:val="22"/>
          <w:szCs w:val="22"/>
        </w:rPr>
        <w:t xml:space="preserve">Make time to unwind, and remind yourself that strong feelings will fade. Take breaks from watching, reading or listening to news stories. </w:t>
      </w:r>
    </w:p>
    <w:p w14:paraId="0B575C91" w14:textId="77777777" w:rsidR="001C1725" w:rsidRPr="00993630" w:rsidRDefault="001C1725" w:rsidP="00993630">
      <w:pPr>
        <w:pStyle w:val="ListParagraph"/>
        <w:numPr>
          <w:ilvl w:val="0"/>
          <w:numId w:val="17"/>
        </w:numPr>
        <w:shd w:val="clear" w:color="auto" w:fill="FFFFFF"/>
        <w:spacing w:before="100" w:beforeAutospacing="1" w:after="100" w:afterAutospacing="1"/>
        <w:rPr>
          <w:rFonts w:eastAsia="Times New Roman" w:cstheme="minorHAnsi"/>
          <w:color w:val="000000"/>
          <w:sz w:val="22"/>
          <w:szCs w:val="22"/>
        </w:rPr>
      </w:pPr>
      <w:r w:rsidRPr="00993630">
        <w:rPr>
          <w:rFonts w:eastAsia="Times New Roman" w:cstheme="minorHAnsi"/>
          <w:color w:val="000000"/>
          <w:sz w:val="22"/>
          <w:szCs w:val="22"/>
        </w:rPr>
        <w:t>Connect with others. Share your concerns and how you’re feeling with a friend or family member. Maintain healthy relationships.</w:t>
      </w:r>
    </w:p>
    <w:p w14:paraId="3186E431" w14:textId="77777777" w:rsidR="001C1725" w:rsidRPr="00993630" w:rsidRDefault="001C1725" w:rsidP="00993630">
      <w:pPr>
        <w:pStyle w:val="ListParagraph"/>
        <w:numPr>
          <w:ilvl w:val="0"/>
          <w:numId w:val="17"/>
        </w:numPr>
        <w:shd w:val="clear" w:color="auto" w:fill="FFFFFF"/>
        <w:spacing w:before="100" w:beforeAutospacing="1" w:after="100" w:afterAutospacing="1"/>
        <w:rPr>
          <w:rFonts w:eastAsia="Times New Roman" w:cstheme="minorHAnsi"/>
          <w:color w:val="000000"/>
          <w:sz w:val="22"/>
          <w:szCs w:val="22"/>
        </w:rPr>
      </w:pPr>
      <w:r w:rsidRPr="00993630">
        <w:rPr>
          <w:rFonts w:eastAsia="Times New Roman" w:cstheme="minorHAnsi"/>
          <w:color w:val="000000"/>
          <w:sz w:val="22"/>
          <w:szCs w:val="22"/>
        </w:rPr>
        <w:t>Maintain a sense of hope and positive thinking.</w:t>
      </w:r>
    </w:p>
    <w:p w14:paraId="1EED0A83" w14:textId="77777777" w:rsidR="001C1725" w:rsidRPr="00993630" w:rsidRDefault="009D446E" w:rsidP="00993630">
      <w:pPr>
        <w:pStyle w:val="ListParagraph"/>
        <w:numPr>
          <w:ilvl w:val="0"/>
          <w:numId w:val="17"/>
        </w:numPr>
        <w:shd w:val="clear" w:color="auto" w:fill="FFFFFF"/>
        <w:spacing w:before="100" w:beforeAutospacing="1" w:after="100" w:afterAutospacing="1"/>
        <w:rPr>
          <w:rFonts w:eastAsia="Times New Roman" w:cstheme="minorHAnsi"/>
          <w:color w:val="000000"/>
          <w:sz w:val="22"/>
          <w:szCs w:val="22"/>
        </w:rPr>
      </w:pPr>
      <w:hyperlink r:id="rId10" w:history="1">
        <w:r w:rsidR="001C1725" w:rsidRPr="00993630">
          <w:rPr>
            <w:rFonts w:cstheme="minorHAnsi"/>
            <w:color w:val="0000FF"/>
            <w:sz w:val="22"/>
            <w:szCs w:val="22"/>
            <w:u w:val="single"/>
          </w:rPr>
          <w:t>Mental Health and Coping During COVID-19</w:t>
        </w:r>
      </w:hyperlink>
    </w:p>
    <w:p w14:paraId="06B90DD9" w14:textId="77777777" w:rsidR="001C1725" w:rsidRPr="00993630" w:rsidRDefault="009D446E" w:rsidP="00993630">
      <w:pPr>
        <w:pStyle w:val="ListParagraph"/>
        <w:numPr>
          <w:ilvl w:val="0"/>
          <w:numId w:val="17"/>
        </w:numPr>
        <w:rPr>
          <w:rFonts w:cstheme="minorHAnsi"/>
          <w:sz w:val="22"/>
          <w:szCs w:val="22"/>
        </w:rPr>
      </w:pPr>
      <w:hyperlink r:id="rId11" w:history="1">
        <w:r w:rsidR="001C1725" w:rsidRPr="00993630">
          <w:rPr>
            <w:rFonts w:cstheme="minorHAnsi"/>
            <w:color w:val="0000FF"/>
            <w:sz w:val="22"/>
            <w:szCs w:val="22"/>
            <w:u w:val="single"/>
          </w:rPr>
          <w:t>SAMHSA Behavioral Health Disaster Response Mobile App</w:t>
        </w:r>
      </w:hyperlink>
      <w:r w:rsidR="001C1725" w:rsidRPr="00993630">
        <w:rPr>
          <w:rFonts w:cstheme="minorHAnsi"/>
          <w:sz w:val="22"/>
          <w:szCs w:val="22"/>
        </w:rPr>
        <w:t>:</w:t>
      </w:r>
    </w:p>
    <w:p w14:paraId="0454F189" w14:textId="77777777" w:rsidR="001C1725" w:rsidRPr="00993630" w:rsidRDefault="001C1725" w:rsidP="00993630">
      <w:pPr>
        <w:pStyle w:val="ListParagraph"/>
        <w:numPr>
          <w:ilvl w:val="1"/>
          <w:numId w:val="11"/>
        </w:numPr>
        <w:ind w:left="630" w:hanging="270"/>
        <w:rPr>
          <w:rFonts w:cstheme="minorHAnsi"/>
          <w:sz w:val="22"/>
          <w:szCs w:val="22"/>
        </w:rPr>
      </w:pPr>
      <w:r w:rsidRPr="00993630">
        <w:rPr>
          <w:rFonts w:cstheme="minorHAnsi"/>
          <w:sz w:val="22"/>
          <w:szCs w:val="22"/>
        </w:rPr>
        <w:t>Access to resources, including tip sheets.</w:t>
      </w:r>
    </w:p>
    <w:p w14:paraId="49C2D4FC" w14:textId="77777777" w:rsidR="001C1725" w:rsidRPr="00993630" w:rsidRDefault="001C1725" w:rsidP="00993630">
      <w:pPr>
        <w:pStyle w:val="ListParagraph"/>
        <w:numPr>
          <w:ilvl w:val="1"/>
          <w:numId w:val="11"/>
        </w:numPr>
        <w:ind w:left="630" w:hanging="270"/>
        <w:rPr>
          <w:rFonts w:cstheme="minorHAnsi"/>
          <w:sz w:val="22"/>
          <w:szCs w:val="22"/>
        </w:rPr>
      </w:pPr>
      <w:r w:rsidRPr="00993630">
        <w:rPr>
          <w:rFonts w:cstheme="minorHAnsi"/>
          <w:sz w:val="22"/>
          <w:szCs w:val="22"/>
        </w:rPr>
        <w:t>Directory of behavioral health providers.</w:t>
      </w:r>
    </w:p>
    <w:p w14:paraId="52719493" w14:textId="77777777" w:rsidR="001C1725" w:rsidRPr="00993630" w:rsidRDefault="001C1725" w:rsidP="00993630">
      <w:pPr>
        <w:pStyle w:val="ListParagraph"/>
        <w:numPr>
          <w:ilvl w:val="1"/>
          <w:numId w:val="11"/>
        </w:numPr>
        <w:ind w:left="630" w:hanging="270"/>
        <w:rPr>
          <w:rFonts w:cstheme="minorHAnsi"/>
          <w:sz w:val="22"/>
          <w:szCs w:val="22"/>
        </w:rPr>
      </w:pPr>
      <w:r w:rsidRPr="00993630">
        <w:rPr>
          <w:rFonts w:cstheme="minorHAnsi"/>
          <w:sz w:val="22"/>
          <w:szCs w:val="22"/>
        </w:rPr>
        <w:t>Interventions to help survivors of infectious disease epidemics.</w:t>
      </w:r>
    </w:p>
    <w:p w14:paraId="6A5D9AC0" w14:textId="77777777" w:rsidR="001C1725" w:rsidRPr="00993630" w:rsidRDefault="001C1725" w:rsidP="001C1725">
      <w:pPr>
        <w:rPr>
          <w:rFonts w:cstheme="minorHAnsi"/>
          <w:sz w:val="22"/>
          <w:szCs w:val="22"/>
        </w:rPr>
      </w:pPr>
    </w:p>
    <w:p w14:paraId="2D1A27DD" w14:textId="3F474FEB" w:rsidR="001C1725" w:rsidRPr="00993630" w:rsidRDefault="001C1725" w:rsidP="001C1725">
      <w:pPr>
        <w:rPr>
          <w:rFonts w:cstheme="minorHAnsi"/>
          <w:b/>
          <w:bCs/>
          <w:sz w:val="22"/>
          <w:szCs w:val="22"/>
          <w:u w:val="single"/>
        </w:rPr>
      </w:pPr>
      <w:r w:rsidRPr="00993630">
        <w:rPr>
          <w:rFonts w:cstheme="minorHAnsi"/>
          <w:b/>
          <w:bCs/>
          <w:sz w:val="22"/>
          <w:szCs w:val="22"/>
          <w:u w:val="single"/>
        </w:rPr>
        <w:t>Clinician Self-Care Activities</w:t>
      </w:r>
    </w:p>
    <w:p w14:paraId="5F78096C" w14:textId="77777777" w:rsidR="001C1725" w:rsidRPr="00993630" w:rsidRDefault="001C1725" w:rsidP="001C1725">
      <w:pPr>
        <w:rPr>
          <w:rFonts w:cstheme="minorHAnsi"/>
          <w:sz w:val="22"/>
          <w:szCs w:val="22"/>
        </w:rPr>
      </w:pPr>
      <w:r w:rsidRPr="00993630">
        <w:rPr>
          <w:rFonts w:cstheme="minorHAnsi"/>
          <w:sz w:val="22"/>
          <w:szCs w:val="22"/>
        </w:rPr>
        <w:t xml:space="preserve">Responding to healthcare emergencies such as COVID-19 can take a physical and emotional toll on healthcare providers. This stress is called Secondary Traumatic Stress (STS), and it’s important to engage in proper self-care activities while caring for others. The Center for Disease Control (CDC) recommends the following: </w:t>
      </w:r>
    </w:p>
    <w:p w14:paraId="1B0E60A8" w14:textId="77777777" w:rsidR="001C1725" w:rsidRPr="00993630" w:rsidRDefault="001C1725" w:rsidP="00993630">
      <w:pPr>
        <w:pStyle w:val="ListParagraph"/>
        <w:numPr>
          <w:ilvl w:val="0"/>
          <w:numId w:val="13"/>
        </w:numPr>
        <w:ind w:left="360"/>
        <w:rPr>
          <w:rFonts w:eastAsia="Times New Roman" w:cstheme="minorHAnsi"/>
          <w:color w:val="000000"/>
          <w:sz w:val="22"/>
          <w:szCs w:val="22"/>
        </w:rPr>
      </w:pPr>
      <w:r w:rsidRPr="00993630">
        <w:rPr>
          <w:rFonts w:eastAsia="Times New Roman" w:cstheme="minorHAnsi"/>
          <w:color w:val="000000"/>
          <w:sz w:val="22"/>
          <w:szCs w:val="22"/>
        </w:rPr>
        <w:t>Be aware of the symptoms, including physical (e.g., fatigue, illness) and mental/emotional (e.g., fear, withdrawal, guilt).</w:t>
      </w:r>
    </w:p>
    <w:p w14:paraId="119EE081" w14:textId="77777777" w:rsidR="001C1725" w:rsidRPr="00993630" w:rsidRDefault="001C1725" w:rsidP="00993630">
      <w:pPr>
        <w:pStyle w:val="ListParagraph"/>
        <w:numPr>
          <w:ilvl w:val="0"/>
          <w:numId w:val="13"/>
        </w:numPr>
        <w:ind w:left="360"/>
        <w:rPr>
          <w:rFonts w:eastAsia="Times New Roman" w:cstheme="minorHAnsi"/>
          <w:color w:val="000000"/>
          <w:sz w:val="22"/>
          <w:szCs w:val="22"/>
        </w:rPr>
      </w:pPr>
      <w:r w:rsidRPr="00993630">
        <w:rPr>
          <w:rFonts w:eastAsia="Times New Roman" w:cstheme="minorHAnsi"/>
          <w:color w:val="000000"/>
          <w:sz w:val="22"/>
          <w:szCs w:val="22"/>
        </w:rPr>
        <w:t>Find and allow time for you and your family to recover from responding to the outbreak.</w:t>
      </w:r>
    </w:p>
    <w:p w14:paraId="171775AE" w14:textId="77777777" w:rsidR="001C1725" w:rsidRPr="00993630" w:rsidRDefault="001C1725" w:rsidP="00993630">
      <w:pPr>
        <w:pStyle w:val="ListParagraph"/>
        <w:numPr>
          <w:ilvl w:val="0"/>
          <w:numId w:val="13"/>
        </w:numPr>
        <w:ind w:left="360"/>
        <w:rPr>
          <w:rFonts w:eastAsia="Times New Roman" w:cstheme="minorHAnsi"/>
          <w:color w:val="000000"/>
          <w:sz w:val="22"/>
          <w:szCs w:val="22"/>
        </w:rPr>
      </w:pPr>
      <w:r w:rsidRPr="00993630">
        <w:rPr>
          <w:rFonts w:eastAsia="Times New Roman" w:cstheme="minorHAnsi"/>
          <w:color w:val="000000"/>
          <w:sz w:val="22"/>
          <w:szCs w:val="22"/>
        </w:rPr>
        <w:t xml:space="preserve">Create a menu of personal self-care activities you enjoy, such as spending time with friends and family, exercising or reading a book. Make efforts to engage in these activities. </w:t>
      </w:r>
    </w:p>
    <w:p w14:paraId="7A0A4C41" w14:textId="77777777" w:rsidR="001C1725" w:rsidRPr="00993630" w:rsidRDefault="001C1725" w:rsidP="00993630">
      <w:pPr>
        <w:pStyle w:val="ListParagraph"/>
        <w:numPr>
          <w:ilvl w:val="0"/>
          <w:numId w:val="13"/>
        </w:numPr>
        <w:ind w:left="360"/>
        <w:rPr>
          <w:rFonts w:eastAsia="Times New Roman" w:cstheme="minorHAnsi"/>
          <w:color w:val="000000"/>
          <w:sz w:val="22"/>
          <w:szCs w:val="22"/>
        </w:rPr>
      </w:pPr>
      <w:r w:rsidRPr="00993630">
        <w:rPr>
          <w:rFonts w:eastAsia="Times New Roman" w:cstheme="minorHAnsi"/>
          <w:color w:val="000000"/>
          <w:sz w:val="22"/>
          <w:szCs w:val="22"/>
        </w:rPr>
        <w:t>Take a break from media coverage of COVID-19.</w:t>
      </w:r>
    </w:p>
    <w:p w14:paraId="781C54B8" w14:textId="77777777" w:rsidR="001C1725" w:rsidRPr="00993630" w:rsidRDefault="001C1725" w:rsidP="00993630">
      <w:pPr>
        <w:pStyle w:val="ListParagraph"/>
        <w:numPr>
          <w:ilvl w:val="0"/>
          <w:numId w:val="13"/>
        </w:numPr>
        <w:ind w:left="360"/>
        <w:rPr>
          <w:rFonts w:eastAsia="Times New Roman" w:cstheme="minorHAnsi"/>
          <w:color w:val="000000"/>
          <w:sz w:val="22"/>
          <w:szCs w:val="22"/>
        </w:rPr>
      </w:pPr>
      <w:r w:rsidRPr="00993630">
        <w:rPr>
          <w:rFonts w:eastAsia="Times New Roman" w:cstheme="minorHAnsi"/>
          <w:color w:val="000000"/>
          <w:sz w:val="22"/>
          <w:szCs w:val="22"/>
        </w:rPr>
        <w:t>Ask for help if you feel overwhelmed or concerned that COVID-19 is affecting your ability to care for your family and patients as you did before the outbreak.</w:t>
      </w:r>
    </w:p>
    <w:p w14:paraId="709137C9" w14:textId="1EAEB818" w:rsidR="00D13999" w:rsidRPr="00993630" w:rsidRDefault="00D13999" w:rsidP="00D13999">
      <w:pPr>
        <w:rPr>
          <w:rFonts w:cstheme="minorHAnsi"/>
          <w:sz w:val="22"/>
          <w:szCs w:val="22"/>
        </w:rPr>
      </w:pPr>
    </w:p>
    <w:p w14:paraId="01C82B3D" w14:textId="77777777" w:rsidR="00D13999" w:rsidRPr="00993630" w:rsidRDefault="00D13999" w:rsidP="00D13999">
      <w:pPr>
        <w:rPr>
          <w:rFonts w:cstheme="minorHAnsi"/>
          <w:sz w:val="22"/>
          <w:szCs w:val="22"/>
        </w:rPr>
      </w:pPr>
    </w:p>
    <w:sectPr w:rsidR="00D13999" w:rsidRPr="00993630" w:rsidSect="00993630">
      <w:headerReference w:type="even" r:id="rId12"/>
      <w:headerReference w:type="default" r:id="rId13"/>
      <w:footerReference w:type="even" r:id="rId14"/>
      <w:footerReference w:type="default" r:id="rId15"/>
      <w:headerReference w:type="first" r:id="rId16"/>
      <w:footerReference w:type="first" r:id="rId17"/>
      <w:pgSz w:w="12240" w:h="15840"/>
      <w:pgMar w:top="1440" w:right="1170" w:bottom="12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CF2CD" w14:textId="77777777" w:rsidR="009D446E" w:rsidRDefault="009D446E" w:rsidP="009C67DC">
      <w:r>
        <w:separator/>
      </w:r>
    </w:p>
  </w:endnote>
  <w:endnote w:type="continuationSeparator" w:id="0">
    <w:p w14:paraId="1E742EF9" w14:textId="77777777" w:rsidR="009D446E" w:rsidRDefault="009D446E" w:rsidP="009C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B6B87" w14:textId="77777777" w:rsidR="00907163" w:rsidRDefault="0090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8B895" w14:textId="77777777" w:rsidR="00907163" w:rsidRDefault="00907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7670" w14:textId="77777777" w:rsidR="00907163" w:rsidRDefault="00907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EB276" w14:textId="77777777" w:rsidR="009D446E" w:rsidRDefault="009D446E" w:rsidP="009C67DC">
      <w:r>
        <w:separator/>
      </w:r>
    </w:p>
  </w:footnote>
  <w:footnote w:type="continuationSeparator" w:id="0">
    <w:p w14:paraId="0CACADB9" w14:textId="77777777" w:rsidR="009D446E" w:rsidRDefault="009D446E" w:rsidP="009C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C1B0E" w14:textId="77777777" w:rsidR="00907163" w:rsidRDefault="00907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5113" w14:textId="1E8D6B6F" w:rsidR="009C67DC" w:rsidRPr="009C67DC" w:rsidRDefault="0050643F" w:rsidP="009C67DC">
    <w:pPr>
      <w:pStyle w:val="Header"/>
      <w:rPr>
        <w:rFonts w:eastAsiaTheme="minorHAnsi"/>
        <w:sz w:val="22"/>
        <w:szCs w:val="22"/>
      </w:rPr>
    </w:pPr>
    <w:bookmarkStart w:id="0" w:name="_GoBack"/>
    <w:r>
      <w:rPr>
        <w:noProof/>
      </w:rPr>
      <w:drawing>
        <wp:anchor distT="0" distB="0" distL="114300" distR="114300" simplePos="0" relativeHeight="251659264" behindDoc="1" locked="0" layoutInCell="1" allowOverlap="1" wp14:anchorId="5CD4E1D6" wp14:editId="7C321566">
          <wp:simplePos x="0" y="0"/>
          <wp:positionH relativeFrom="column">
            <wp:posOffset>4916773</wp:posOffset>
          </wp:positionH>
          <wp:positionV relativeFrom="paragraph">
            <wp:posOffset>17624</wp:posOffset>
          </wp:positionV>
          <wp:extent cx="1437640" cy="379730"/>
          <wp:effectExtent l="0" t="0" r="0" b="127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m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7640" cy="37973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W w:w="11520" w:type="dxa"/>
      <w:tblInd w:w="-1085" w:type="dxa"/>
      <w:tblBorders>
        <w:top w:val="none" w:sz="0" w:space="0" w:color="auto"/>
        <w:left w:val="none" w:sz="0" w:space="0" w:color="auto"/>
        <w:right w:val="none" w:sz="0" w:space="0" w:color="auto"/>
        <w:insideH w:val="none" w:sz="0" w:space="0" w:color="auto"/>
        <w:insideV w:val="none" w:sz="0" w:space="0" w:color="auto"/>
      </w:tblBorders>
      <w:tblCellMar>
        <w:left w:w="115" w:type="dxa"/>
        <w:bottom w:w="58" w:type="dxa"/>
        <w:right w:w="115" w:type="dxa"/>
      </w:tblCellMar>
      <w:tblLook w:val="04A0" w:firstRow="1" w:lastRow="0" w:firstColumn="1" w:lastColumn="0" w:noHBand="0" w:noVBand="1"/>
    </w:tblPr>
    <w:tblGrid>
      <w:gridCol w:w="7318"/>
      <w:gridCol w:w="4202"/>
    </w:tblGrid>
    <w:tr w:rsidR="009C67DC" w:rsidRPr="009C67DC" w14:paraId="05681B76" w14:textId="77777777" w:rsidTr="006D5056">
      <w:tc>
        <w:tcPr>
          <w:tcW w:w="7318" w:type="dxa"/>
          <w:tcBorders>
            <w:bottom w:val="single" w:sz="12" w:space="0" w:color="595959"/>
          </w:tcBorders>
          <w:vAlign w:val="center"/>
        </w:tcPr>
        <w:p w14:paraId="434539E0" w14:textId="7B93066C" w:rsidR="00993630" w:rsidRPr="00A35A44" w:rsidRDefault="00993630" w:rsidP="00993630">
          <w:pPr>
            <w:rPr>
              <w:b/>
              <w:bCs/>
            </w:rPr>
          </w:pPr>
          <w:r w:rsidRPr="00A35A44">
            <w:rPr>
              <w:b/>
              <w:bCs/>
            </w:rPr>
            <w:t xml:space="preserve">Coronavirus </w:t>
          </w:r>
          <w:r w:rsidR="00907163">
            <w:rPr>
              <w:b/>
              <w:bCs/>
            </w:rPr>
            <w:t>c</w:t>
          </w:r>
          <w:r>
            <w:rPr>
              <w:b/>
              <w:bCs/>
            </w:rPr>
            <w:t>oncerns</w:t>
          </w:r>
          <w:r w:rsidRPr="00A35A44">
            <w:rPr>
              <w:b/>
              <w:bCs/>
            </w:rPr>
            <w:t xml:space="preserve">: </w:t>
          </w:r>
          <w:r w:rsidR="00907163">
            <w:rPr>
              <w:b/>
              <w:bCs/>
            </w:rPr>
            <w:t>m</w:t>
          </w:r>
          <w:r w:rsidRPr="00A35A44">
            <w:rPr>
              <w:b/>
              <w:bCs/>
            </w:rPr>
            <w:t xml:space="preserve">anaging </w:t>
          </w:r>
          <w:r w:rsidR="00907163">
            <w:rPr>
              <w:b/>
              <w:bCs/>
            </w:rPr>
            <w:t>s</w:t>
          </w:r>
          <w:r w:rsidRPr="00A35A44">
            <w:rPr>
              <w:b/>
              <w:bCs/>
            </w:rPr>
            <w:t xml:space="preserve">tress and </w:t>
          </w:r>
          <w:r w:rsidR="00907163">
            <w:rPr>
              <w:b/>
              <w:bCs/>
            </w:rPr>
            <w:t>c</w:t>
          </w:r>
          <w:r w:rsidRPr="00A35A44">
            <w:rPr>
              <w:b/>
              <w:bCs/>
            </w:rPr>
            <w:t>oncern</w:t>
          </w:r>
        </w:p>
        <w:p w14:paraId="6BB62E65" w14:textId="5EA1539B" w:rsidR="009C67DC" w:rsidRPr="009C67DC" w:rsidRDefault="009C67DC" w:rsidP="009C67DC">
          <w:pPr>
            <w:rPr>
              <w:rFonts w:ascii="Helvetica" w:eastAsiaTheme="minorHAnsi" w:hAnsi="Helvetica"/>
              <w:b/>
              <w:sz w:val="22"/>
              <w:szCs w:val="22"/>
            </w:rPr>
          </w:pPr>
        </w:p>
      </w:tc>
      <w:tc>
        <w:tcPr>
          <w:tcW w:w="4202" w:type="dxa"/>
          <w:tcBorders>
            <w:bottom w:val="single" w:sz="12" w:space="0" w:color="595959"/>
          </w:tcBorders>
          <w:vAlign w:val="center"/>
        </w:tcPr>
        <w:p w14:paraId="471ED898" w14:textId="77777777" w:rsidR="009C67DC" w:rsidRPr="009C67DC" w:rsidRDefault="009C67DC" w:rsidP="009C67DC">
          <w:pPr>
            <w:jc w:val="right"/>
            <w:rPr>
              <w:rFonts w:ascii="Helvetica" w:eastAsiaTheme="minorHAnsi" w:hAnsi="Helvetica"/>
              <w:sz w:val="22"/>
              <w:szCs w:val="22"/>
            </w:rPr>
          </w:pPr>
          <w:r w:rsidRPr="009C67DC">
            <w:rPr>
              <w:rFonts w:ascii="Helvetica" w:eastAsiaTheme="minorHAnsi" w:hAnsi="Helvetica"/>
              <w:sz w:val="22"/>
              <w:szCs w:val="22"/>
            </w:rPr>
            <w:t xml:space="preserve">  </w:t>
          </w:r>
        </w:p>
      </w:tc>
    </w:tr>
  </w:tbl>
  <w:p w14:paraId="05F221FD" w14:textId="5F8C25A7" w:rsidR="009C67DC" w:rsidRPr="009C67DC" w:rsidRDefault="009C67DC" w:rsidP="009C67DC">
    <w:pPr>
      <w:tabs>
        <w:tab w:val="center" w:pos="4680"/>
        <w:tab w:val="right" w:pos="9360"/>
      </w:tabs>
      <w:rPr>
        <w:rFonts w:ascii="Helvetica" w:eastAsiaTheme="minorHAnsi" w:hAnsi="Helvetic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2C40" w14:textId="77777777" w:rsidR="00907163" w:rsidRDefault="00907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1A8"/>
    <w:multiLevelType w:val="multilevel"/>
    <w:tmpl w:val="765C0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E70D3"/>
    <w:multiLevelType w:val="hybridMultilevel"/>
    <w:tmpl w:val="26A84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70" w:hanging="360"/>
      </w:pPr>
      <w:rPr>
        <w:rFonts w:ascii="Courier New" w:hAnsi="Courier New" w:cs="Courier New" w:hint="default"/>
      </w:rPr>
    </w:lvl>
    <w:lvl w:ilvl="2" w:tplc="04090005" w:tentative="1">
      <w:start w:val="1"/>
      <w:numFmt w:val="bullet"/>
      <w:lvlText w:val=""/>
      <w:lvlJc w:val="left"/>
      <w:pPr>
        <w:ind w:left="1390" w:hanging="360"/>
      </w:pPr>
      <w:rPr>
        <w:rFonts w:ascii="Wingdings" w:hAnsi="Wingdings" w:hint="default"/>
      </w:rPr>
    </w:lvl>
    <w:lvl w:ilvl="3" w:tplc="04090001" w:tentative="1">
      <w:start w:val="1"/>
      <w:numFmt w:val="bullet"/>
      <w:lvlText w:val=""/>
      <w:lvlJc w:val="left"/>
      <w:pPr>
        <w:ind w:left="2110" w:hanging="360"/>
      </w:pPr>
      <w:rPr>
        <w:rFonts w:ascii="Symbol" w:hAnsi="Symbol" w:hint="default"/>
      </w:rPr>
    </w:lvl>
    <w:lvl w:ilvl="4" w:tplc="04090003" w:tentative="1">
      <w:start w:val="1"/>
      <w:numFmt w:val="bullet"/>
      <w:lvlText w:val="o"/>
      <w:lvlJc w:val="left"/>
      <w:pPr>
        <w:ind w:left="2830" w:hanging="360"/>
      </w:pPr>
      <w:rPr>
        <w:rFonts w:ascii="Courier New" w:hAnsi="Courier New" w:cs="Courier New" w:hint="default"/>
      </w:rPr>
    </w:lvl>
    <w:lvl w:ilvl="5" w:tplc="04090005" w:tentative="1">
      <w:start w:val="1"/>
      <w:numFmt w:val="bullet"/>
      <w:lvlText w:val=""/>
      <w:lvlJc w:val="left"/>
      <w:pPr>
        <w:ind w:left="3550" w:hanging="360"/>
      </w:pPr>
      <w:rPr>
        <w:rFonts w:ascii="Wingdings" w:hAnsi="Wingdings" w:hint="default"/>
      </w:rPr>
    </w:lvl>
    <w:lvl w:ilvl="6" w:tplc="04090001" w:tentative="1">
      <w:start w:val="1"/>
      <w:numFmt w:val="bullet"/>
      <w:lvlText w:val=""/>
      <w:lvlJc w:val="left"/>
      <w:pPr>
        <w:ind w:left="4270" w:hanging="360"/>
      </w:pPr>
      <w:rPr>
        <w:rFonts w:ascii="Symbol" w:hAnsi="Symbol" w:hint="default"/>
      </w:rPr>
    </w:lvl>
    <w:lvl w:ilvl="7" w:tplc="04090003" w:tentative="1">
      <w:start w:val="1"/>
      <w:numFmt w:val="bullet"/>
      <w:lvlText w:val="o"/>
      <w:lvlJc w:val="left"/>
      <w:pPr>
        <w:ind w:left="4990" w:hanging="360"/>
      </w:pPr>
      <w:rPr>
        <w:rFonts w:ascii="Courier New" w:hAnsi="Courier New" w:cs="Courier New" w:hint="default"/>
      </w:rPr>
    </w:lvl>
    <w:lvl w:ilvl="8" w:tplc="04090005" w:tentative="1">
      <w:start w:val="1"/>
      <w:numFmt w:val="bullet"/>
      <w:lvlText w:val=""/>
      <w:lvlJc w:val="left"/>
      <w:pPr>
        <w:ind w:left="5710" w:hanging="360"/>
      </w:pPr>
      <w:rPr>
        <w:rFonts w:ascii="Wingdings" w:hAnsi="Wingdings" w:hint="default"/>
      </w:rPr>
    </w:lvl>
  </w:abstractNum>
  <w:abstractNum w:abstractNumId="2" w15:restartNumberingAfterBreak="0">
    <w:nsid w:val="160E57B0"/>
    <w:multiLevelType w:val="hybridMultilevel"/>
    <w:tmpl w:val="EFFE6938"/>
    <w:lvl w:ilvl="0" w:tplc="A5180FC8">
      <w:start w:val="1"/>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C7687"/>
    <w:multiLevelType w:val="hybridMultilevel"/>
    <w:tmpl w:val="D89C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A0360"/>
    <w:multiLevelType w:val="hybridMultilevel"/>
    <w:tmpl w:val="546AD6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C550B2"/>
    <w:multiLevelType w:val="hybridMultilevel"/>
    <w:tmpl w:val="E0DE3FA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20A01CF"/>
    <w:multiLevelType w:val="hybridMultilevel"/>
    <w:tmpl w:val="3A0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20B9A"/>
    <w:multiLevelType w:val="hybridMultilevel"/>
    <w:tmpl w:val="8D208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10" w:hanging="360"/>
      </w:pPr>
      <w:rPr>
        <w:rFonts w:ascii="Courier New" w:hAnsi="Courier New" w:cs="Courier New" w:hint="default"/>
      </w:rPr>
    </w:lvl>
    <w:lvl w:ilvl="2" w:tplc="04090005" w:tentative="1">
      <w:start w:val="1"/>
      <w:numFmt w:val="bullet"/>
      <w:lvlText w:val=""/>
      <w:lvlJc w:val="left"/>
      <w:pPr>
        <w:ind w:left="1030" w:hanging="360"/>
      </w:pPr>
      <w:rPr>
        <w:rFonts w:ascii="Wingdings" w:hAnsi="Wingdings" w:hint="default"/>
      </w:rPr>
    </w:lvl>
    <w:lvl w:ilvl="3" w:tplc="04090001" w:tentative="1">
      <w:start w:val="1"/>
      <w:numFmt w:val="bullet"/>
      <w:lvlText w:val=""/>
      <w:lvlJc w:val="left"/>
      <w:pPr>
        <w:ind w:left="1750" w:hanging="360"/>
      </w:pPr>
      <w:rPr>
        <w:rFonts w:ascii="Symbol" w:hAnsi="Symbol" w:hint="default"/>
      </w:rPr>
    </w:lvl>
    <w:lvl w:ilvl="4" w:tplc="04090003" w:tentative="1">
      <w:start w:val="1"/>
      <w:numFmt w:val="bullet"/>
      <w:lvlText w:val="o"/>
      <w:lvlJc w:val="left"/>
      <w:pPr>
        <w:ind w:left="2470" w:hanging="360"/>
      </w:pPr>
      <w:rPr>
        <w:rFonts w:ascii="Courier New" w:hAnsi="Courier New" w:cs="Courier New" w:hint="default"/>
      </w:rPr>
    </w:lvl>
    <w:lvl w:ilvl="5" w:tplc="04090005" w:tentative="1">
      <w:start w:val="1"/>
      <w:numFmt w:val="bullet"/>
      <w:lvlText w:val=""/>
      <w:lvlJc w:val="left"/>
      <w:pPr>
        <w:ind w:left="3190" w:hanging="360"/>
      </w:pPr>
      <w:rPr>
        <w:rFonts w:ascii="Wingdings" w:hAnsi="Wingdings" w:hint="default"/>
      </w:rPr>
    </w:lvl>
    <w:lvl w:ilvl="6" w:tplc="04090001" w:tentative="1">
      <w:start w:val="1"/>
      <w:numFmt w:val="bullet"/>
      <w:lvlText w:val=""/>
      <w:lvlJc w:val="left"/>
      <w:pPr>
        <w:ind w:left="3910" w:hanging="360"/>
      </w:pPr>
      <w:rPr>
        <w:rFonts w:ascii="Symbol" w:hAnsi="Symbol" w:hint="default"/>
      </w:rPr>
    </w:lvl>
    <w:lvl w:ilvl="7" w:tplc="04090003" w:tentative="1">
      <w:start w:val="1"/>
      <w:numFmt w:val="bullet"/>
      <w:lvlText w:val="o"/>
      <w:lvlJc w:val="left"/>
      <w:pPr>
        <w:ind w:left="4630" w:hanging="360"/>
      </w:pPr>
      <w:rPr>
        <w:rFonts w:ascii="Courier New" w:hAnsi="Courier New" w:cs="Courier New" w:hint="default"/>
      </w:rPr>
    </w:lvl>
    <w:lvl w:ilvl="8" w:tplc="04090005" w:tentative="1">
      <w:start w:val="1"/>
      <w:numFmt w:val="bullet"/>
      <w:lvlText w:val=""/>
      <w:lvlJc w:val="left"/>
      <w:pPr>
        <w:ind w:left="5350" w:hanging="360"/>
      </w:pPr>
      <w:rPr>
        <w:rFonts w:ascii="Wingdings" w:hAnsi="Wingdings" w:hint="default"/>
      </w:rPr>
    </w:lvl>
  </w:abstractNum>
  <w:abstractNum w:abstractNumId="8" w15:restartNumberingAfterBreak="0">
    <w:nsid w:val="5DEE3E8F"/>
    <w:multiLevelType w:val="multilevel"/>
    <w:tmpl w:val="600C2F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55CD3"/>
    <w:multiLevelType w:val="hybridMultilevel"/>
    <w:tmpl w:val="9A60F2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D061514">
      <w:start w:val="1"/>
      <w:numFmt w:val="lowerLetter"/>
      <w:lvlText w:val="%3."/>
      <w:lvlJc w:val="right"/>
      <w:pPr>
        <w:ind w:left="2160" w:hanging="180"/>
      </w:pPr>
      <w:rPr>
        <w:rFonts w:ascii="Calibri" w:eastAsiaTheme="minorEastAsia" w:hAnsi="Calibri" w:cs="Calibr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A035AA"/>
    <w:multiLevelType w:val="multilevel"/>
    <w:tmpl w:val="ACF6D538"/>
    <w:lvl w:ilvl="0">
      <w:start w:val="1"/>
      <w:numFmt w:val="decimal"/>
      <w:lvlText w:val="%1)"/>
      <w:lvlJc w:val="left"/>
      <w:pPr>
        <w:ind w:left="720" w:hanging="360"/>
      </w:pPr>
      <w:rPr>
        <w:rFonts w:ascii="Calibri" w:hAnsi="Calibri" w:cs="Calibr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246319"/>
    <w:multiLevelType w:val="hybridMultilevel"/>
    <w:tmpl w:val="71C85EBC"/>
    <w:lvl w:ilvl="0" w:tplc="C2F277E8">
      <w:start w:val="1"/>
      <w:numFmt w:val="decimal"/>
      <w:lvlText w:val="%1)"/>
      <w:lvlJc w:val="left"/>
      <w:pPr>
        <w:ind w:left="720" w:hanging="360"/>
      </w:pPr>
      <w:rPr>
        <w:rFonts w:ascii="Calibri" w:hAnsi="Calibri" w:cs="Calibri" w:hint="default"/>
        <w:sz w:val="24"/>
      </w:rPr>
    </w:lvl>
    <w:lvl w:ilvl="1" w:tplc="EB78DBBA">
      <w:start w:val="1"/>
      <w:numFmt w:val="decimal"/>
      <w:lvlText w:val="%2."/>
      <w:lvlJc w:val="left"/>
      <w:pPr>
        <w:ind w:left="1440" w:hanging="360"/>
      </w:pPr>
      <w:rPr>
        <w:rFonts w:ascii="Calibri" w:eastAsiaTheme="minorEastAsia"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0855BE2"/>
    <w:multiLevelType w:val="multilevel"/>
    <w:tmpl w:val="78B8CA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923FB0"/>
    <w:multiLevelType w:val="hybridMultilevel"/>
    <w:tmpl w:val="DA28A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5B6522"/>
    <w:multiLevelType w:val="hybridMultilevel"/>
    <w:tmpl w:val="4362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D194A"/>
    <w:multiLevelType w:val="hybridMultilevel"/>
    <w:tmpl w:val="AAEA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2"/>
  </w:num>
  <w:num w:numId="5">
    <w:abstractNumId w:val="9"/>
  </w:num>
  <w:num w:numId="6">
    <w:abstractNumId w:val="8"/>
  </w:num>
  <w:num w:numId="7">
    <w:abstractNumId w:val="0"/>
  </w:num>
  <w:num w:numId="8">
    <w:abstractNumId w:val="12"/>
  </w:num>
  <w:num w:numId="9">
    <w:abstractNumId w:val="5"/>
  </w:num>
  <w:num w:numId="10">
    <w:abstractNumId w:val="14"/>
  </w:num>
  <w:num w:numId="11">
    <w:abstractNumId w:val="13"/>
  </w:num>
  <w:num w:numId="12">
    <w:abstractNumId w:val="7"/>
  </w:num>
  <w:num w:numId="13">
    <w:abstractNumId w:val="15"/>
  </w:num>
  <w:num w:numId="14">
    <w:abstractNumId w:val="6"/>
  </w:num>
  <w:num w:numId="15">
    <w:abstractNumId w:val="3"/>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4C"/>
    <w:rsid w:val="000A744E"/>
    <w:rsid w:val="000C3E09"/>
    <w:rsid w:val="000F2516"/>
    <w:rsid w:val="00125CFD"/>
    <w:rsid w:val="001A308C"/>
    <w:rsid w:val="001C1725"/>
    <w:rsid w:val="0021588B"/>
    <w:rsid w:val="00305E86"/>
    <w:rsid w:val="00350529"/>
    <w:rsid w:val="003A6977"/>
    <w:rsid w:val="00410458"/>
    <w:rsid w:val="004145A5"/>
    <w:rsid w:val="0045750A"/>
    <w:rsid w:val="004737F3"/>
    <w:rsid w:val="00496769"/>
    <w:rsid w:val="004B2BDB"/>
    <w:rsid w:val="004C0B8A"/>
    <w:rsid w:val="004E1678"/>
    <w:rsid w:val="004E72DF"/>
    <w:rsid w:val="0050073E"/>
    <w:rsid w:val="0050643F"/>
    <w:rsid w:val="005331D7"/>
    <w:rsid w:val="005E2D59"/>
    <w:rsid w:val="005F726A"/>
    <w:rsid w:val="0061637F"/>
    <w:rsid w:val="006341EA"/>
    <w:rsid w:val="00674030"/>
    <w:rsid w:val="006A4DDD"/>
    <w:rsid w:val="006E1F38"/>
    <w:rsid w:val="00717292"/>
    <w:rsid w:val="00753DDF"/>
    <w:rsid w:val="007A6CAB"/>
    <w:rsid w:val="007D2C77"/>
    <w:rsid w:val="007D5937"/>
    <w:rsid w:val="00826A2D"/>
    <w:rsid w:val="008347B2"/>
    <w:rsid w:val="0087244C"/>
    <w:rsid w:val="008A559E"/>
    <w:rsid w:val="008F18E3"/>
    <w:rsid w:val="00907163"/>
    <w:rsid w:val="00911E4C"/>
    <w:rsid w:val="00993630"/>
    <w:rsid w:val="009C67DC"/>
    <w:rsid w:val="009D3E84"/>
    <w:rsid w:val="009D446E"/>
    <w:rsid w:val="009E2E44"/>
    <w:rsid w:val="00A40E45"/>
    <w:rsid w:val="00A66402"/>
    <w:rsid w:val="00AA3B75"/>
    <w:rsid w:val="00AC7C7D"/>
    <w:rsid w:val="00AD3289"/>
    <w:rsid w:val="00B0562C"/>
    <w:rsid w:val="00B46C63"/>
    <w:rsid w:val="00B57279"/>
    <w:rsid w:val="00B64D1A"/>
    <w:rsid w:val="00B85D87"/>
    <w:rsid w:val="00BA36E9"/>
    <w:rsid w:val="00BF04F3"/>
    <w:rsid w:val="00BF104D"/>
    <w:rsid w:val="00C10D81"/>
    <w:rsid w:val="00CE618C"/>
    <w:rsid w:val="00D13999"/>
    <w:rsid w:val="00D252AE"/>
    <w:rsid w:val="00D44A8D"/>
    <w:rsid w:val="00D47EBA"/>
    <w:rsid w:val="00DC577E"/>
    <w:rsid w:val="00DE28EF"/>
    <w:rsid w:val="00DE5506"/>
    <w:rsid w:val="00DE5A97"/>
    <w:rsid w:val="00DF0BCC"/>
    <w:rsid w:val="00E333C4"/>
    <w:rsid w:val="00E77BB2"/>
    <w:rsid w:val="00EB6219"/>
    <w:rsid w:val="00F31140"/>
    <w:rsid w:val="00FB064D"/>
    <w:rsid w:val="00FB5B90"/>
    <w:rsid w:val="00FC2478"/>
    <w:rsid w:val="00FD25D6"/>
    <w:rsid w:val="00FF3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77D9"/>
  <w15:chartTrackingRefBased/>
  <w15:docId w15:val="{174B6767-068F-4F50-94A2-666429BF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4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E4C"/>
    <w:pPr>
      <w:ind w:left="720"/>
      <w:contextualSpacing/>
    </w:pPr>
  </w:style>
  <w:style w:type="paragraph" w:styleId="Header">
    <w:name w:val="header"/>
    <w:basedOn w:val="Normal"/>
    <w:link w:val="HeaderChar"/>
    <w:uiPriority w:val="99"/>
    <w:unhideWhenUsed/>
    <w:rsid w:val="009C67DC"/>
    <w:pPr>
      <w:tabs>
        <w:tab w:val="center" w:pos="4680"/>
        <w:tab w:val="right" w:pos="9360"/>
      </w:tabs>
    </w:pPr>
  </w:style>
  <w:style w:type="character" w:customStyle="1" w:styleId="HeaderChar">
    <w:name w:val="Header Char"/>
    <w:basedOn w:val="DefaultParagraphFont"/>
    <w:link w:val="Header"/>
    <w:uiPriority w:val="99"/>
    <w:rsid w:val="009C67DC"/>
    <w:rPr>
      <w:rFonts w:eastAsiaTheme="minorEastAsia"/>
      <w:sz w:val="24"/>
      <w:szCs w:val="24"/>
    </w:rPr>
  </w:style>
  <w:style w:type="paragraph" w:styleId="Footer">
    <w:name w:val="footer"/>
    <w:basedOn w:val="Normal"/>
    <w:link w:val="FooterChar"/>
    <w:uiPriority w:val="99"/>
    <w:unhideWhenUsed/>
    <w:rsid w:val="009C67DC"/>
    <w:pPr>
      <w:tabs>
        <w:tab w:val="center" w:pos="4680"/>
        <w:tab w:val="right" w:pos="9360"/>
      </w:tabs>
    </w:pPr>
  </w:style>
  <w:style w:type="character" w:customStyle="1" w:styleId="FooterChar">
    <w:name w:val="Footer Char"/>
    <w:basedOn w:val="DefaultParagraphFont"/>
    <w:link w:val="Footer"/>
    <w:uiPriority w:val="99"/>
    <w:rsid w:val="009C67DC"/>
    <w:rPr>
      <w:rFonts w:eastAsiaTheme="minorEastAsia"/>
      <w:sz w:val="24"/>
      <w:szCs w:val="24"/>
    </w:rPr>
  </w:style>
  <w:style w:type="table" w:styleId="TableGrid">
    <w:name w:val="Table Grid"/>
    <w:basedOn w:val="TableNormal"/>
    <w:uiPriority w:val="39"/>
    <w:rsid w:val="009C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508083">
      <w:bodyDiv w:val="1"/>
      <w:marLeft w:val="0"/>
      <w:marRight w:val="0"/>
      <w:marTop w:val="0"/>
      <w:marBottom w:val="0"/>
      <w:divBdr>
        <w:top w:val="none" w:sz="0" w:space="0" w:color="auto"/>
        <w:left w:val="none" w:sz="0" w:space="0" w:color="auto"/>
        <w:bottom w:val="none" w:sz="0" w:space="0" w:color="auto"/>
        <w:right w:val="none" w:sz="0" w:space="0" w:color="auto"/>
      </w:divBdr>
    </w:div>
    <w:div w:id="1435445559">
      <w:bodyDiv w:val="1"/>
      <w:marLeft w:val="0"/>
      <w:marRight w:val="0"/>
      <w:marTop w:val="0"/>
      <w:marBottom w:val="0"/>
      <w:divBdr>
        <w:top w:val="none" w:sz="0" w:space="0" w:color="auto"/>
        <w:left w:val="none" w:sz="0" w:space="0" w:color="auto"/>
        <w:bottom w:val="none" w:sz="0" w:space="0" w:color="auto"/>
        <w:right w:val="none" w:sz="0" w:space="0" w:color="auto"/>
      </w:divBdr>
    </w:div>
    <w:div w:id="157385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ore.samhsa.gov/product/SAMHSA-Behavioral-Health-Disaster-Response-Mobile-App/PEP13-DKAPP-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dc.gov/coronavirus/2019-ncov/about/coping.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ce6cf4-c2f2-401e-a2f4-dc40ec1a9373">
      <UserInfo>
        <DisplayName>Bernadette Cooper Bellamy</DisplayName>
        <AccountId>1946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7B4B96C4F870499543E01890571E84" ma:contentTypeVersion="6" ma:contentTypeDescription="Create a new document." ma:contentTypeScope="" ma:versionID="092cd88120e83d1d54225e4dcac84d58">
  <xsd:schema xmlns:xsd="http://www.w3.org/2001/XMLSchema" xmlns:xs="http://www.w3.org/2001/XMLSchema" xmlns:p="http://schemas.microsoft.com/office/2006/metadata/properties" xmlns:ns2="1e08fe02-4252-4eda-a602-d9c16b8bcb0f" xmlns:ns3="bcce6cf4-c2f2-401e-a2f4-dc40ec1a9373" targetNamespace="http://schemas.microsoft.com/office/2006/metadata/properties" ma:root="true" ma:fieldsID="ba931350da2bdf2021607ad6827e1072" ns2:_="" ns3:_="">
    <xsd:import namespace="1e08fe02-4252-4eda-a602-d9c16b8bcb0f"/>
    <xsd:import namespace="bcce6cf4-c2f2-401e-a2f4-dc40ec1a93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8fe02-4252-4eda-a602-d9c16b8bc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e6cf4-c2f2-401e-a2f4-dc40ec1a9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73CC3-B00B-4EAB-AE37-4E48BD78A79F}">
  <ds:schemaRefs>
    <ds:schemaRef ds:uri="http://schemas.microsoft.com/office/2006/metadata/properties"/>
    <ds:schemaRef ds:uri="http://schemas.microsoft.com/office/infopath/2007/PartnerControls"/>
    <ds:schemaRef ds:uri="bcce6cf4-c2f2-401e-a2f4-dc40ec1a9373"/>
  </ds:schemaRefs>
</ds:datastoreItem>
</file>

<file path=customXml/itemProps2.xml><?xml version="1.0" encoding="utf-8"?>
<ds:datastoreItem xmlns:ds="http://schemas.openxmlformats.org/officeDocument/2006/customXml" ds:itemID="{1BF7187A-579D-4FC7-825A-211BBA51A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8fe02-4252-4eda-a602-d9c16b8bcb0f"/>
    <ds:schemaRef ds:uri="bcce6cf4-c2f2-401e-a2f4-dc40ec1a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D57C9-A3DD-4181-9C57-947B36EE2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Fields</dc:creator>
  <cp:keywords/>
  <dc:description/>
  <cp:lastModifiedBy>Amanda Skerski</cp:lastModifiedBy>
  <cp:revision>2</cp:revision>
  <cp:lastPrinted>2020-03-04T04:27:00Z</cp:lastPrinted>
  <dcterms:created xsi:type="dcterms:W3CDTF">2020-03-17T23:15:00Z</dcterms:created>
  <dcterms:modified xsi:type="dcterms:W3CDTF">2020-03-17T23:15:00Z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0x0101004A7B4B96C4F870499543E01890571E84</vt:lpwstr>
  </property>
</Properties>
</file>